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报隶-简" w:hAnsi="报隶-简" w:eastAsia="报隶-简" w:cs="报隶-简"/>
          <w:sz w:val="48"/>
          <w:szCs w:val="56"/>
        </w:rPr>
        <w:id w:val="498987060"/>
        <w:showingPlcHdr/>
        <w15:color w:val="DBDBDB"/>
      </w:sdtPr>
      <w:sdtEndPr>
        <w:rPr>
          <w:rFonts w:hint="eastAsia" w:ascii="报隶-简" w:hAnsi="报隶-简" w:eastAsia="报隶-简" w:cs="报隶-简"/>
          <w:sz w:val="20"/>
          <w:szCs w:val="20"/>
        </w:rPr>
      </w:sdtEndPr>
      <w:sdtContent>
        <w:p w14:paraId="622CCD65">
          <w:bookmarkStart w:id="0" w:name="_Toc1595607762_WPSOffice_Type1"/>
          <w:bookmarkEnd w:id="0"/>
          <w:r>
            <w:rPr>
              <w:rFonts w:ascii="报隶-简" w:hAnsi="报隶-简" w:eastAsia="报隶-简" w:cs="报隶-简"/>
              <w:sz w:val="48"/>
              <w:szCs w:val="56"/>
            </w:rPr>
            <w:t xml:space="preserve">     </w:t>
          </w:r>
        </w:p>
      </w:sdtContent>
    </w:sdt>
    <w:p w14:paraId="68B8825C">
      <w:pPr>
        <w:pStyle w:val="2"/>
      </w:pPr>
      <w:r>
        <w:rPr>
          <w:rFonts w:hint="eastAsia"/>
        </w:rPr>
        <w:drawing>
          <wp:inline distT="0" distB="0" distL="0" distR="0">
            <wp:extent cx="5784850" cy="7883525"/>
            <wp:effectExtent l="0" t="0" r="6350" b="3175"/>
            <wp:docPr id="3" name="图片 3"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手机屏幕截图&#10;&#10;描述已自动生成"/>
                    <pic:cNvPicPr>
                      <a:picLocks noChangeAspect="1"/>
                    </pic:cNvPicPr>
                  </pic:nvPicPr>
                  <pic:blipFill>
                    <a:blip r:embed="rId6" cstate="print">
                      <a:extLst>
                        <a:ext uri="{28A0092B-C50C-407E-A947-70E740481C1C}">
                          <a14:useLocalDpi xmlns:a14="http://schemas.microsoft.com/office/drawing/2010/main" val="0"/>
                        </a:ext>
                      </a:extLst>
                    </a:blip>
                    <a:srcRect l="5856" t="8601"/>
                    <a:stretch>
                      <a:fillRect/>
                    </a:stretch>
                  </pic:blipFill>
                  <pic:spPr>
                    <a:xfrm>
                      <a:off x="0" y="0"/>
                      <a:ext cx="5785058" cy="7884000"/>
                    </a:xfrm>
                    <a:prstGeom prst="rect">
                      <a:avLst/>
                    </a:prstGeom>
                    <a:ln>
                      <a:noFill/>
                    </a:ln>
                  </pic:spPr>
                </pic:pic>
              </a:graphicData>
            </a:graphic>
          </wp:inline>
        </w:drawing>
      </w:r>
      <w:r>
        <w:rPr>
          <w:rFonts w:hint="eastAsia"/>
        </w:rPr>
        <w:br w:type="page"/>
      </w:r>
      <w:bookmarkStart w:id="1" w:name="_Toc85728408"/>
      <w:bookmarkStart w:id="2" w:name="_Toc327471073"/>
      <w:bookmarkStart w:id="3" w:name="_Toc1202248782_WPSOffice_Level1"/>
    </w:p>
    <w:p w14:paraId="58CAEE1F"/>
    <w:p w14:paraId="6BD095E6">
      <w:pPr>
        <w:rPr>
          <w:rFonts w:hint="eastAsia"/>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rPr>
        <w:drawing>
          <wp:inline distT="0" distB="0" distL="0" distR="0">
            <wp:extent cx="5641340" cy="7919720"/>
            <wp:effectExtent l="0" t="0" r="0" b="5080"/>
            <wp:docPr id="4" name="图片 4"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手机屏幕截图&#10;&#10;描述已自动生成"/>
                    <pic:cNvPicPr>
                      <a:picLocks noChangeAspect="1"/>
                    </pic:cNvPicPr>
                  </pic:nvPicPr>
                  <pic:blipFill>
                    <a:blip r:embed="rId7" cstate="print">
                      <a:extLst>
                        <a:ext uri="{28A0092B-C50C-407E-A947-70E740481C1C}">
                          <a14:useLocalDpi xmlns:a14="http://schemas.microsoft.com/office/drawing/2010/main" val="0"/>
                        </a:ext>
                      </a:extLst>
                    </a:blip>
                    <a:srcRect l="8125" t="8771"/>
                    <a:stretch>
                      <a:fillRect/>
                    </a:stretch>
                  </pic:blipFill>
                  <pic:spPr>
                    <a:xfrm>
                      <a:off x="0" y="0"/>
                      <a:ext cx="5641582" cy="7920000"/>
                    </a:xfrm>
                    <a:prstGeom prst="rect">
                      <a:avLst/>
                    </a:prstGeom>
                    <a:ln>
                      <a:noFill/>
                    </a:ln>
                  </pic:spPr>
                </pic:pic>
              </a:graphicData>
            </a:graphic>
          </wp:inline>
        </w:drawing>
      </w:r>
    </w:p>
    <w:p w14:paraId="3C137C36">
      <w:pPr>
        <w:pStyle w:val="2"/>
      </w:pPr>
      <w:r>
        <w:rPr>
          <w:rFonts w:hint="eastAsia"/>
        </w:rPr>
        <w:t>北京中致儿童关爱基金会财务管理制度</w:t>
      </w:r>
      <w:bookmarkEnd w:id="1"/>
      <w:bookmarkEnd w:id="2"/>
      <w:bookmarkEnd w:id="3"/>
    </w:p>
    <w:p w14:paraId="5290ED92">
      <w:pPr>
        <w:spacing w:line="276" w:lineRule="auto"/>
        <w:jc w:val="center"/>
        <w:rPr>
          <w:sz w:val="28"/>
        </w:rPr>
      </w:pPr>
    </w:p>
    <w:p w14:paraId="1CF6DE98">
      <w:pPr>
        <w:spacing w:line="276" w:lineRule="auto"/>
        <w:jc w:val="center"/>
        <w:rPr>
          <w:b/>
        </w:rPr>
      </w:pPr>
      <w:bookmarkStart w:id="4" w:name="_Toc978796833_WPSOffice_Level1"/>
      <w:r>
        <w:rPr>
          <w:rFonts w:hint="eastAsia"/>
          <w:b/>
        </w:rPr>
        <w:t>第一章  总 则</w:t>
      </w:r>
      <w:bookmarkEnd w:id="4"/>
    </w:p>
    <w:p w14:paraId="45C63DEB">
      <w:pPr>
        <w:spacing w:line="276" w:lineRule="auto"/>
      </w:pPr>
      <w:r>
        <w:rPr>
          <w:rFonts w:hint="eastAsia"/>
        </w:rPr>
        <w:br w:type="textWrapping"/>
      </w:r>
      <w:r>
        <w:rPr>
          <w:rFonts w:hint="eastAsia"/>
        </w:rPr>
        <w:t>　　第一条  为加强本基金会的财务管理，严格财经纪律，提高财务管理水平，根据《关于慈善组织开展慈善活动年度支出和管理费用的规定》、《财政部关于印发&lt;民间非营利组织会计制度&gt;的通知》、《基金会管理条例》、《关于规范基金会行为的若干规定（试行）》等规定，和本基金会章程，结合实际，制定本制度。</w:t>
      </w:r>
      <w:r>
        <w:rPr>
          <w:rFonts w:hint="eastAsia"/>
        </w:rPr>
        <w:br w:type="textWrapping"/>
      </w:r>
      <w:r>
        <w:rPr>
          <w:rFonts w:hint="eastAsia"/>
        </w:rPr>
        <w:t>　　第二条  本制度内容包括：预算管理，收入管理，支出管理、审批权限、财务监管。</w:t>
      </w:r>
    </w:p>
    <w:p w14:paraId="61422BE6">
      <w:pPr>
        <w:spacing w:line="276" w:lineRule="auto"/>
        <w:jc w:val="center"/>
        <w:rPr>
          <w:b/>
        </w:rPr>
      </w:pPr>
      <w:bookmarkStart w:id="5" w:name="_Toc653539346_WPSOffice_Level1"/>
      <w:bookmarkStart w:id="6" w:name="_Toc913636211_WPSOffice_Level1"/>
      <w:r>
        <w:rPr>
          <w:rFonts w:hint="eastAsia"/>
          <w:b/>
        </w:rPr>
        <w:t>第二章 预算管理</w:t>
      </w:r>
      <w:bookmarkEnd w:id="5"/>
      <w:bookmarkEnd w:id="6"/>
    </w:p>
    <w:p w14:paraId="356DBC40">
      <w:pPr>
        <w:spacing w:line="276" w:lineRule="auto"/>
        <w:rPr>
          <w:rFonts w:hint="eastAsia"/>
        </w:rPr>
      </w:pPr>
      <w:r>
        <w:rPr>
          <w:rFonts w:hint="eastAsia"/>
        </w:rPr>
        <w:br w:type="textWrapping"/>
      </w:r>
      <w:r>
        <w:rPr>
          <w:rFonts w:hint="eastAsia"/>
        </w:rPr>
        <w:t>　　第三条  基金会各项收入和支出应当纳入预算统一管理，统筹安排使用。</w:t>
      </w:r>
      <w:r>
        <w:rPr>
          <w:rFonts w:hint="eastAsia"/>
        </w:rPr>
        <w:br w:type="textWrapping"/>
      </w:r>
      <w:r>
        <w:rPr>
          <w:rFonts w:hint="eastAsia"/>
        </w:rPr>
        <w:t>　　第四条  基金会根据基金余额情况、年度工作计划等编制年度预算。预算须经过理事会审议通过方可执行。</w:t>
      </w:r>
    </w:p>
    <w:p w14:paraId="429AF3FE">
      <w:pPr>
        <w:spacing w:line="276" w:lineRule="auto"/>
        <w:ind w:firstLine="480" w:firstLineChars="200"/>
      </w:pPr>
      <w:r>
        <w:rPr>
          <w:rFonts w:hint="eastAsia"/>
        </w:rPr>
        <w:t>第五条  当年支出项目需要调整预算的，单个项目资金在10万元（含）以内，需要经秘书长、理事长分别审批，</w:t>
      </w:r>
      <w:r>
        <w:rPr>
          <w:rFonts w:hint="eastAsia"/>
          <w:highlight w:val="none"/>
        </w:rPr>
        <w:t>单个项目资金在</w:t>
      </w:r>
      <w:r>
        <w:rPr>
          <w:rFonts w:hint="eastAsia"/>
          <w:highlight w:val="none"/>
          <w:lang w:val="en-US" w:eastAsia="zh-CN"/>
        </w:rPr>
        <w:t>2</w:t>
      </w:r>
      <w:r>
        <w:rPr>
          <w:rFonts w:hint="eastAsia"/>
          <w:highlight w:val="none"/>
        </w:rPr>
        <w:t>0万元以上，须经理事会审议。</w:t>
      </w:r>
      <w:r>
        <w:rPr>
          <w:rFonts w:hint="eastAsia"/>
          <w:highlight w:val="none"/>
        </w:rPr>
        <w:br w:type="textWrapping"/>
      </w:r>
      <w:r>
        <w:rPr>
          <w:rFonts w:hint="eastAsia"/>
        </w:rPr>
        <w:t>　　第六条  理事会应定期听取预算执行情况汇报。</w:t>
      </w:r>
    </w:p>
    <w:p w14:paraId="4D8F1E28">
      <w:pPr>
        <w:spacing w:line="276" w:lineRule="auto"/>
        <w:jc w:val="center"/>
      </w:pPr>
    </w:p>
    <w:p w14:paraId="0684B7EE">
      <w:pPr>
        <w:spacing w:line="276" w:lineRule="auto"/>
        <w:jc w:val="center"/>
        <w:rPr>
          <w:b/>
        </w:rPr>
      </w:pPr>
      <w:bookmarkStart w:id="7" w:name="_Toc1804417464_WPSOffice_Level1"/>
      <w:bookmarkStart w:id="8" w:name="_Toc975722227_WPSOffice_Level1"/>
      <w:r>
        <w:rPr>
          <w:rFonts w:hint="eastAsia"/>
          <w:b/>
        </w:rPr>
        <w:t>第三章 收入管理</w:t>
      </w:r>
      <w:bookmarkEnd w:id="7"/>
      <w:bookmarkEnd w:id="8"/>
    </w:p>
    <w:p w14:paraId="2C90DF4F">
      <w:pPr>
        <w:spacing w:line="276" w:lineRule="auto"/>
      </w:pPr>
      <w:r>
        <w:rPr>
          <w:rFonts w:hint="eastAsia"/>
        </w:rPr>
        <w:br w:type="textWrapping"/>
      </w:r>
      <w:r>
        <w:rPr>
          <w:rFonts w:hint="eastAsia"/>
        </w:rPr>
        <w:t>　　第七条  按照有关规定，本基金会设立专用账户，对基金会的收入实行专门管理。</w:t>
      </w:r>
      <w:r>
        <w:rPr>
          <w:rFonts w:hint="eastAsia"/>
        </w:rPr>
        <w:br w:type="textWrapping"/>
      </w:r>
      <w:r>
        <w:rPr>
          <w:rFonts w:hint="eastAsia"/>
        </w:rPr>
        <w:t>　　第八条  基金会筹集、接受捐赠，应当遵守法律法规，符合章程规定的宗旨和的业务范围。</w:t>
      </w:r>
      <w:r>
        <w:rPr>
          <w:rFonts w:hint="eastAsia"/>
        </w:rPr>
        <w:br w:type="textWrapping"/>
      </w:r>
      <w:r>
        <w:rPr>
          <w:rFonts w:hint="eastAsia"/>
        </w:rPr>
        <w:t>　　第九条  基金会接受捐赠，应当与捐赠人明确权利义务,并根据捐赠人的要求与其订立书面捐赠协议。</w:t>
      </w:r>
      <w:r>
        <w:rPr>
          <w:rFonts w:hint="eastAsia"/>
        </w:rPr>
        <w:br w:type="textWrapping"/>
      </w:r>
      <w:r>
        <w:rPr>
          <w:rFonts w:hint="eastAsia"/>
        </w:rPr>
        <w:t>　　第十条  基金会接受捐赠应当确保公益性，附加对捐赠人构成利益回报条件的赠与和不符合公益性目的的赠与，不应确认为公益捐赠。</w:t>
      </w:r>
      <w:r>
        <w:rPr>
          <w:rFonts w:hint="eastAsia"/>
        </w:rPr>
        <w:br w:type="textWrapping"/>
      </w:r>
      <w:r>
        <w:rPr>
          <w:rFonts w:hint="eastAsia"/>
        </w:rPr>
        <w:t>　　第十一条  收到公益捐赠现金或者支票，应当及时将现金或支票缴银行入账。</w:t>
      </w:r>
      <w:r>
        <w:rPr>
          <w:rFonts w:hint="eastAsia"/>
        </w:rPr>
        <w:br w:type="textWrapping"/>
      </w:r>
      <w:r>
        <w:rPr>
          <w:rFonts w:hint="eastAsia"/>
        </w:rPr>
        <w:t>　　第十二条  基金会接受非现金捐赠，应当在实际收到后确认收入。受赠财产未经基金会验收确认，由捐赠人直接转移给受助人或者其他第三方的，不得作为基金会的捐赠收入。</w:t>
      </w:r>
      <w:r>
        <w:rPr>
          <w:rFonts w:hint="eastAsia"/>
        </w:rPr>
        <w:br w:type="textWrapping"/>
      </w:r>
      <w:r>
        <w:rPr>
          <w:rFonts w:hint="eastAsia"/>
        </w:rPr>
        <w:t>　　第十三条  基金会接收非现金捐赠，应建立捐赠实物分类登记表册，登记物资品种、数量，收支账册纳入法定账簿记账，并按照以下方法确定入账价值：</w:t>
      </w:r>
      <w:r>
        <w:rPr>
          <w:rFonts w:hint="eastAsia"/>
        </w:rPr>
        <w:br w:type="textWrapping"/>
      </w:r>
      <w:r>
        <w:rPr>
          <w:rFonts w:hint="eastAsia"/>
        </w:rPr>
        <w:t>　　（一）捐赠人提供发票、报关单等凭据的，应当以相关凭据作为确认入账价值的依据；捐赠方不能提供凭据的，应当以其他确认捐赠财产的证明，作为确认入账价值的依据；</w:t>
      </w:r>
      <w:r>
        <w:rPr>
          <w:rFonts w:hint="eastAsia"/>
        </w:rPr>
        <w:br w:type="textWrapping"/>
      </w:r>
      <w:r>
        <w:rPr>
          <w:rFonts w:hint="eastAsia"/>
        </w:rPr>
        <w:t>　　（二）捐赠人提供的凭据或其他能够确认受赠资产价值的证明上标明的金额与受赠资产公允价值相差较大的，应当以其公允价值作为入账价值；</w:t>
      </w:r>
      <w:r>
        <w:rPr>
          <w:rFonts w:hint="eastAsia"/>
        </w:rPr>
        <w:br w:type="textWrapping"/>
      </w:r>
      <w:r>
        <w:rPr>
          <w:rFonts w:hint="eastAsia"/>
        </w:rPr>
        <w:t>　　（三）如果同类或者类似资产不存在活跃市场，或者无法找到同类或者类似资产的，，应当以具有合法资质的第三方机构的评估作为确认入账价值的依据。无法评估或经评估无法确认价格的，基金会不得计入捐赠收入，应当另外造册登记。</w:t>
      </w:r>
      <w:r>
        <w:rPr>
          <w:rFonts w:hint="eastAsia"/>
        </w:rPr>
        <w:br w:type="textWrapping"/>
      </w:r>
      <w:r>
        <w:rPr>
          <w:rFonts w:hint="eastAsia"/>
        </w:rPr>
        <w:t>　　第十四条  基金会应当严格区分交换交易收入和捐赠收入。通过出售物资、提供服务、授权使用或转让资产包括无形资产等交换交易取得的收入，应当记入商品销售收入、提供服务收入等相关会计科目，不得计入捐赠收入。</w:t>
      </w:r>
      <w:r>
        <w:rPr>
          <w:rFonts w:hint="eastAsia"/>
        </w:rPr>
        <w:br w:type="textWrapping"/>
      </w:r>
      <w:r>
        <w:rPr>
          <w:rFonts w:hint="eastAsia"/>
        </w:rPr>
        <w:t>　　第十五条  基金会投资收益必须全部足额纳入统一账户进行管理，并确保用于符合公益宗旨的方向。</w:t>
      </w:r>
      <w:r>
        <w:rPr>
          <w:rFonts w:hint="eastAsia"/>
        </w:rPr>
        <w:br w:type="textWrapping"/>
      </w:r>
      <w:r>
        <w:rPr>
          <w:rFonts w:hint="eastAsia"/>
        </w:rPr>
        <w:t>　　第十六条  基金会合法收入受法律保护，任何单位和个人不得私分、侵占、挪用。</w:t>
      </w:r>
    </w:p>
    <w:p w14:paraId="4CD395DE">
      <w:pPr>
        <w:spacing w:line="276" w:lineRule="auto"/>
        <w:jc w:val="center"/>
        <w:rPr>
          <w:b/>
        </w:rPr>
      </w:pPr>
    </w:p>
    <w:p w14:paraId="6C293A04">
      <w:pPr>
        <w:spacing w:line="276" w:lineRule="auto"/>
        <w:jc w:val="center"/>
        <w:rPr>
          <w:b/>
        </w:rPr>
      </w:pPr>
      <w:bookmarkStart w:id="9" w:name="_Toc778340697_WPSOffice_Level1"/>
      <w:bookmarkStart w:id="10" w:name="_Toc80254514_WPSOffice_Level1"/>
      <w:r>
        <w:rPr>
          <w:rFonts w:hint="eastAsia"/>
          <w:b/>
        </w:rPr>
        <w:t>第四章 支出管理</w:t>
      </w:r>
      <w:bookmarkEnd w:id="9"/>
      <w:bookmarkEnd w:id="10"/>
    </w:p>
    <w:p w14:paraId="04A39987">
      <w:pPr>
        <w:spacing w:line="276" w:lineRule="auto"/>
      </w:pPr>
      <w:r>
        <w:rPr>
          <w:rFonts w:hint="eastAsia"/>
        </w:rPr>
        <w:br w:type="textWrapping"/>
      </w:r>
      <w:r>
        <w:rPr>
          <w:rFonts w:hint="eastAsia"/>
        </w:rPr>
        <w:t>　　第十七条  基金会的支出包括公益事业支出、工作人员工资福利和行政办公支出。</w:t>
      </w:r>
      <w:r>
        <w:rPr>
          <w:rFonts w:hint="eastAsia"/>
        </w:rPr>
        <w:br w:type="textWrapping"/>
      </w:r>
      <w:r>
        <w:rPr>
          <w:rFonts w:hint="eastAsia"/>
        </w:rPr>
        <w:t>　　第十八条  基金会用于公益事业支出包括直接用于受助人的款物和为开展公益项目发生的直接运行费用。项目支出费用包括：</w:t>
      </w:r>
      <w:r>
        <w:rPr>
          <w:rFonts w:hint="eastAsia"/>
        </w:rPr>
        <w:br w:type="textWrapping"/>
      </w:r>
      <w:r>
        <w:rPr>
          <w:rFonts w:hint="eastAsia"/>
        </w:rPr>
        <w:t>　　（一）为提供慈善服务和实施慈善项目，支付的人员的报酬，包括：工资福利、劳务费、专家费、志愿者补贴和保险等；</w:t>
      </w:r>
      <w:r>
        <w:rPr>
          <w:rFonts w:hint="eastAsia"/>
        </w:rPr>
        <w:br w:type="textWrapping"/>
      </w:r>
      <w:r>
        <w:rPr>
          <w:rFonts w:hint="eastAsia"/>
        </w:rPr>
        <w:t>　　（二）为立项、执行、监督和评估公益项目发生的费用，包括：差旅费、交通费、通讯费、会议费、购买服务费等；           </w:t>
      </w:r>
      <w:r>
        <w:rPr>
          <w:rFonts w:hint="eastAsia"/>
        </w:rPr>
        <w:br w:type="textWrapping"/>
      </w:r>
      <w:r>
        <w:rPr>
          <w:rFonts w:hint="eastAsia"/>
        </w:rPr>
        <w:t>　　（三）为宣传、推广公益项目发生的费用，包括：广告费、购买服务费等；</w:t>
      </w:r>
      <w:r>
        <w:rPr>
          <w:rFonts w:hint="eastAsia"/>
        </w:rPr>
        <w:br w:type="textWrapping"/>
      </w:r>
      <w:r>
        <w:rPr>
          <w:rFonts w:hint="eastAsia"/>
        </w:rPr>
        <w:t>　　（四）因项目需要租赁房屋、购买和维护固定资产的费用，包括：所发生的租赁费、折旧费、修理费、办公费、水电费、邮电费、物业管理费等；</w:t>
      </w:r>
      <w:r>
        <w:rPr>
          <w:rFonts w:hint="eastAsia"/>
        </w:rPr>
        <w:br w:type="textWrapping"/>
      </w:r>
      <w:r>
        <w:rPr>
          <w:rFonts w:hint="eastAsia"/>
        </w:rPr>
        <w:t>　　（五）为开展项目需要支付的其他费用。</w:t>
      </w:r>
      <w:r>
        <w:rPr>
          <w:rFonts w:hint="eastAsia"/>
        </w:rPr>
        <w:br w:type="textWrapping"/>
      </w:r>
      <w:r>
        <w:rPr>
          <w:rFonts w:hint="eastAsia"/>
        </w:rPr>
        <w:t>　　第十九条  工作人员工资福利包括，为保证本组织正常运转所发生的下列费用：</w:t>
      </w:r>
      <w:r>
        <w:rPr>
          <w:rFonts w:hint="eastAsia"/>
        </w:rPr>
        <w:br w:type="textWrapping"/>
      </w:r>
      <w:r>
        <w:rPr>
          <w:rFonts w:hint="eastAsia"/>
        </w:rPr>
        <w:t>　　（一）工作人员工资、福利费、社会保险（障）费（含离退休人员）、住房公积金；</w:t>
      </w:r>
      <w:r>
        <w:rPr>
          <w:rFonts w:hint="eastAsia"/>
        </w:rPr>
        <w:br w:type="textWrapping"/>
      </w:r>
      <w:r>
        <w:rPr>
          <w:rFonts w:hint="eastAsia"/>
        </w:rPr>
        <w:t>　　（二）担任专职工作理事的津贴、补助和理事会运行费用。</w:t>
      </w:r>
    </w:p>
    <w:p w14:paraId="13457D14">
      <w:pPr>
        <w:spacing w:line="276" w:lineRule="auto"/>
        <w:ind w:firstLine="480" w:firstLineChars="200"/>
      </w:pPr>
      <w:r>
        <w:rPr>
          <w:rFonts w:hint="eastAsia"/>
        </w:rPr>
        <w:t>（三）召开理事会的，承担理事和监事的会议期间的交通费和食宿费。</w:t>
      </w:r>
      <w:r>
        <w:rPr>
          <w:rFonts w:hint="eastAsia"/>
        </w:rPr>
        <w:br w:type="textWrapping"/>
      </w:r>
      <w:r>
        <w:rPr>
          <w:rFonts w:hint="eastAsia"/>
        </w:rPr>
        <w:t>　　第二十条  行政办公支出包括，为保证本组织正常运转所发生的：办公费、水电费、邮电费、物业管理费、差旅费、折旧费、修理费、租赁费、无形资产摊销费、资产盘亏损失、资产减值损失、因预计负债所产生的损失、以及聘请中介机构费等。</w:t>
      </w:r>
      <w:r>
        <w:rPr>
          <w:rFonts w:hint="eastAsia"/>
        </w:rPr>
        <w:br w:type="textWrapping"/>
      </w:r>
      <w:r>
        <w:rPr>
          <w:rFonts w:hint="eastAsia"/>
        </w:rPr>
        <w:t>　　第二十一条  捐赠协议和募捐公告中约定可以从公益捐赠中列支项目直接运行费用、工作人员工资福利和行政办公支出的，按照约定列支。</w:t>
      </w:r>
      <w:r>
        <w:rPr>
          <w:rFonts w:hint="eastAsia"/>
        </w:rPr>
        <w:br w:type="textWrapping"/>
      </w:r>
      <w:r>
        <w:rPr>
          <w:rFonts w:hint="eastAsia"/>
        </w:rPr>
        <w:t xml:space="preserve">　　第二十二条  基金会工作人员工资福利和行政办公支出遵循《关于慈善组织开展慈善活动年度支出和管理费用的规定》处理。 </w:t>
      </w:r>
    </w:p>
    <w:p w14:paraId="6BDC221C">
      <w:pPr>
        <w:spacing w:line="276" w:lineRule="auto"/>
      </w:pPr>
      <w:r>
        <w:rPr>
          <w:rFonts w:hint="eastAsia"/>
        </w:rPr>
        <w:t xml:space="preserve">    第二十三条  各项目支出费用支付标准、审批程序，按照以下方式执行：</w:t>
      </w:r>
    </w:p>
    <w:p w14:paraId="77156EB3">
      <w:pPr>
        <w:spacing w:line="276" w:lineRule="auto"/>
      </w:pPr>
      <w:r>
        <w:rPr>
          <w:rFonts w:hint="eastAsia"/>
        </w:rPr>
        <w:t xml:space="preserve">   （一）项目款项在理事会年度计划和预算当中的，由秘书长审批，交理事长确认，交财务执行。</w:t>
      </w:r>
    </w:p>
    <w:p w14:paraId="0C44C3D7">
      <w:pPr>
        <w:spacing w:line="276" w:lineRule="auto"/>
        <w:rPr>
          <w:highlight w:val="yellow"/>
        </w:rPr>
      </w:pPr>
      <w:r>
        <w:rPr>
          <w:rFonts w:hint="eastAsia"/>
        </w:rPr>
        <w:t xml:space="preserve">   （二）项目款项在年度预算之外的，10万元以内的，秘书长、理事长分别审批确认，交财务执行，</w:t>
      </w:r>
      <w:r>
        <w:rPr>
          <w:rFonts w:hint="eastAsia"/>
          <w:highlight w:val="yellow"/>
          <w:lang w:val="en-US" w:eastAsia="zh-CN"/>
        </w:rPr>
        <w:t>2</w:t>
      </w:r>
      <w:r>
        <w:rPr>
          <w:rFonts w:hint="eastAsia"/>
          <w:highlight w:val="yellow"/>
        </w:rPr>
        <w:t>0万元以上的，经理事会同意后，交财务执行。</w:t>
      </w:r>
    </w:p>
    <w:p w14:paraId="4519B77E">
      <w:pPr>
        <w:spacing w:line="276" w:lineRule="auto"/>
      </w:pPr>
      <w:r>
        <w:rPr>
          <w:rFonts w:hint="eastAsia"/>
        </w:rPr>
        <w:t xml:space="preserve">    第二十四条  各项工作人员工资福利和行政办公支出的支出标准、审批程序：</w:t>
      </w:r>
    </w:p>
    <w:p w14:paraId="06A132F2">
      <w:pPr>
        <w:spacing w:line="276" w:lineRule="auto"/>
        <w:rPr>
          <w:highlight w:val="yellow"/>
        </w:rPr>
      </w:pPr>
      <w:r>
        <w:rPr>
          <w:rFonts w:hint="eastAsia"/>
        </w:rPr>
        <w:t xml:space="preserve">   （一）</w:t>
      </w:r>
      <w:r>
        <w:rPr>
          <w:rFonts w:hint="eastAsia"/>
          <w:highlight w:val="yellow"/>
        </w:rPr>
        <w:t>基金会工作人员的工资支付由理事长确认；</w:t>
      </w:r>
    </w:p>
    <w:p w14:paraId="712C1D0B">
      <w:pPr>
        <w:spacing w:line="276" w:lineRule="auto"/>
      </w:pPr>
      <w:r>
        <w:rPr>
          <w:rFonts w:hint="eastAsia"/>
        </w:rPr>
        <w:t xml:space="preserve">   （二）基金会工作人员餐旅费 、通讯费等日常报销费用，2000元以内的，由秘书长审批；2000元以上的由理事长审批，其中秘书长的日常报销费用由理事长审批。</w:t>
      </w:r>
    </w:p>
    <w:p w14:paraId="44631280">
      <w:pPr>
        <w:spacing w:line="276" w:lineRule="auto"/>
      </w:pPr>
      <w:r>
        <w:rPr>
          <w:rFonts w:hint="eastAsia"/>
        </w:rPr>
        <w:t xml:space="preserve">    第二十五条  公益事业支出管理监督：</w:t>
      </w:r>
      <w:r>
        <w:rPr>
          <w:rFonts w:hint="eastAsia"/>
        </w:rPr>
        <w:br w:type="textWrapping"/>
      </w:r>
      <w:r>
        <w:rPr>
          <w:rFonts w:hint="eastAsia"/>
        </w:rPr>
        <w:t>　　（一）每年用于从事章程规定的公益事业支出，不得低于收入的70%；</w:t>
      </w:r>
      <w:r>
        <w:rPr>
          <w:rFonts w:hint="eastAsia"/>
        </w:rPr>
        <w:br w:type="textWrapping"/>
      </w:r>
      <w:r>
        <w:rPr>
          <w:rFonts w:hint="eastAsia"/>
        </w:rPr>
        <w:t>　　（二）监事依照章程规定的程序检查基金会财务和会计资料，监督理事会遵守法律和章程的情况；</w:t>
      </w:r>
      <w:r>
        <w:rPr>
          <w:rFonts w:hint="eastAsia"/>
        </w:rPr>
        <w:br w:type="textWrapping"/>
      </w:r>
      <w:r>
        <w:rPr>
          <w:rFonts w:hint="eastAsia"/>
        </w:rPr>
        <w:t>　　（三）监事应当遵守有关法律法规和基金会章程，忠实履行职责；</w:t>
      </w:r>
      <w:r>
        <w:rPr>
          <w:rFonts w:hint="eastAsia"/>
        </w:rPr>
        <w:br w:type="textWrapping"/>
      </w:r>
      <w:r>
        <w:rPr>
          <w:rFonts w:hint="eastAsia"/>
        </w:rPr>
        <w:t>　　（四）监事不得与基金会有任何交易行为。</w:t>
      </w:r>
      <w:r>
        <w:rPr>
          <w:rFonts w:hint="eastAsia"/>
        </w:rPr>
        <w:br w:type="textWrapping"/>
      </w:r>
      <w:r>
        <w:rPr>
          <w:rFonts w:hint="eastAsia"/>
        </w:rPr>
        <w:t>　  第二十六条 秘书长的资产管理职责</w:t>
      </w:r>
    </w:p>
    <w:p w14:paraId="27C99ABC">
      <w:pPr>
        <w:spacing w:line="276" w:lineRule="auto"/>
      </w:pPr>
      <w:r>
        <w:rPr>
          <w:rFonts w:hint="eastAsia"/>
        </w:rPr>
        <w:t xml:space="preserve">   （一）执行年度投资计划和资产处置计划，负责相关投资管理和资产处置落实工作；</w:t>
      </w:r>
    </w:p>
    <w:p w14:paraId="7C41D6CA">
      <w:pPr>
        <w:spacing w:line="276" w:lineRule="auto"/>
      </w:pPr>
      <w:r>
        <w:rPr>
          <w:rFonts w:hint="eastAsia"/>
        </w:rPr>
        <w:t xml:space="preserve">   （二）负责对投资资产的监督管理和固定资产的日常管理；</w:t>
      </w:r>
      <w:r>
        <w:rPr>
          <w:rFonts w:hint="eastAsia"/>
        </w:rPr>
        <w:br w:type="textWrapping"/>
      </w:r>
      <w:r>
        <w:rPr>
          <w:rFonts w:hint="eastAsia"/>
        </w:rPr>
        <w:t xml:space="preserve">   （三）会同财务部门做好非现金资产盘点、登记和管理工作，做到账实相符、账表相符； </w:t>
      </w:r>
      <w:r>
        <w:rPr>
          <w:rFonts w:hint="eastAsia"/>
        </w:rPr>
        <w:br w:type="textWrapping"/>
      </w:r>
      <w:r>
        <w:rPr>
          <w:rFonts w:hint="eastAsia"/>
        </w:rPr>
        <w:t xml:space="preserve">   （四）完成理事会授权和交办的其他资产管理工作。</w:t>
      </w:r>
      <w:r>
        <w:rPr>
          <w:rFonts w:hint="eastAsia"/>
        </w:rPr>
        <w:br w:type="textWrapping"/>
      </w:r>
    </w:p>
    <w:p w14:paraId="04DA01F1">
      <w:pPr>
        <w:spacing w:line="276" w:lineRule="auto"/>
        <w:jc w:val="center"/>
        <w:rPr>
          <w:b/>
        </w:rPr>
      </w:pPr>
      <w:bookmarkStart w:id="11" w:name="_Toc1249200602_WPSOffice_Level1"/>
      <w:bookmarkStart w:id="12" w:name="_Toc217886482_WPSOffice_Level1"/>
      <w:r>
        <w:rPr>
          <w:rFonts w:hint="eastAsia"/>
          <w:b/>
        </w:rPr>
        <w:t>第五章 审批权限</w:t>
      </w:r>
      <w:bookmarkEnd w:id="11"/>
      <w:bookmarkEnd w:id="12"/>
    </w:p>
    <w:p w14:paraId="3A892616">
      <w:pPr>
        <w:spacing w:line="276" w:lineRule="auto"/>
      </w:pPr>
      <w:r>
        <w:rPr>
          <w:rFonts w:hint="eastAsia"/>
        </w:rPr>
        <w:br w:type="textWrapping"/>
      </w:r>
      <w:r>
        <w:rPr>
          <w:rFonts w:hint="eastAsia"/>
        </w:rPr>
        <w:t>　　第二十七条  理事会审批权限：基金会年度财务预算、</w:t>
      </w:r>
      <w:r>
        <w:rPr>
          <w:rFonts w:hint="eastAsia"/>
          <w:highlight w:val="yellow"/>
        </w:rPr>
        <w:t>超</w:t>
      </w:r>
      <w:r>
        <w:rPr>
          <w:rFonts w:hint="eastAsia"/>
          <w:highlight w:val="yellow"/>
          <w:lang w:val="en-US" w:eastAsia="zh-CN"/>
        </w:rPr>
        <w:t>2</w:t>
      </w:r>
      <w:r>
        <w:rPr>
          <w:rFonts w:hint="eastAsia"/>
          <w:highlight w:val="yellow"/>
        </w:rPr>
        <w:t>0万元以上的项目支出。</w:t>
      </w:r>
      <w:r>
        <w:rPr>
          <w:rFonts w:hint="eastAsia"/>
          <w:highlight w:val="yellow"/>
        </w:rPr>
        <w:br w:type="textWrapping"/>
      </w:r>
      <w:r>
        <w:rPr>
          <w:rFonts w:hint="eastAsia"/>
        </w:rPr>
        <w:t>　　第二十八条  理事长审批权限：秘书长的工资福利以及日常报销、工作人员2000元以上日常报销、3000元以上的项目支出。</w:t>
      </w:r>
    </w:p>
    <w:p w14:paraId="3A86E1ED">
      <w:pPr>
        <w:spacing w:line="276" w:lineRule="auto"/>
      </w:pPr>
      <w:r>
        <w:rPr>
          <w:rFonts w:hint="eastAsia"/>
        </w:rPr>
        <w:t>　　第二十九条  秘书长审批权限：工作人员2000元以下的日常报销，3000元以下的项目支出。</w:t>
      </w:r>
      <w:r>
        <w:rPr>
          <w:rFonts w:hint="eastAsia"/>
        </w:rPr>
        <w:br w:type="textWrapping"/>
      </w:r>
      <w:r>
        <w:rPr>
          <w:rFonts w:hint="eastAsia"/>
        </w:rPr>
        <w:t>   </w:t>
      </w:r>
    </w:p>
    <w:p w14:paraId="639602F5">
      <w:pPr>
        <w:spacing w:line="276" w:lineRule="auto"/>
        <w:jc w:val="center"/>
        <w:rPr>
          <w:b/>
        </w:rPr>
      </w:pPr>
      <w:bookmarkStart w:id="13" w:name="_Toc1514384742_WPSOffice_Level1"/>
      <w:bookmarkStart w:id="14" w:name="_Toc558484839_WPSOffice_Level1"/>
      <w:r>
        <w:rPr>
          <w:rFonts w:hint="eastAsia"/>
          <w:b/>
        </w:rPr>
        <w:t>第六章 财务监管</w:t>
      </w:r>
      <w:bookmarkEnd w:id="13"/>
      <w:bookmarkEnd w:id="14"/>
    </w:p>
    <w:p w14:paraId="0CFC643F">
      <w:pPr>
        <w:spacing w:line="276" w:lineRule="auto"/>
      </w:pPr>
      <w:r>
        <w:rPr>
          <w:rFonts w:hint="eastAsia"/>
        </w:rPr>
        <w:br w:type="textWrapping"/>
      </w:r>
      <w:r>
        <w:rPr>
          <w:rFonts w:hint="eastAsia"/>
        </w:rPr>
        <w:t>　　第三十条  基金会财务部门要加强财务监管，严格遵守有关财会制度和财经纪律，要加强自身建设，努力提高财会人员的业务能力和管理水平，依法依规开展各类财会工作。</w:t>
      </w:r>
      <w:r>
        <w:rPr>
          <w:rFonts w:hint="eastAsia"/>
        </w:rPr>
        <w:br w:type="textWrapping"/>
      </w:r>
      <w:r>
        <w:rPr>
          <w:rFonts w:hint="eastAsia"/>
        </w:rPr>
        <w:t>　　第三十一条  严格按照《民间非营利组织会计制度》设置会计科目，帐薄登记完整规范，账务处理准确及时，核算合规合理。定期编报相关会计信息资料，保证会计资料合法、真实、准确、完整。</w:t>
      </w:r>
      <w:r>
        <w:rPr>
          <w:rFonts w:hint="eastAsia"/>
        </w:rPr>
        <w:br w:type="textWrapping"/>
      </w:r>
      <w:r>
        <w:rPr>
          <w:rFonts w:hint="eastAsia"/>
        </w:rPr>
        <w:t>     第三十二条  定期分析收支情况，并向理事会报告相关收支预算执行情况，并针对存在的问题提出改进意见。</w:t>
      </w:r>
      <w:r>
        <w:rPr>
          <w:rFonts w:hint="eastAsia"/>
        </w:rPr>
        <w:br w:type="textWrapping"/>
      </w:r>
      <w:r>
        <w:rPr>
          <w:rFonts w:hint="eastAsia"/>
        </w:rPr>
        <w:t>　　第三十三条  严格报销手续，报销单据、手续必须符合有关规定。对不真实、不合规和违反财务制度的支出，财会人员应拒绝办理或者按职责予以纠正。</w:t>
      </w:r>
      <w:r>
        <w:rPr>
          <w:rFonts w:hint="eastAsia"/>
        </w:rPr>
        <w:br w:type="textWrapping"/>
      </w:r>
      <w:r>
        <w:rPr>
          <w:rFonts w:hint="eastAsia"/>
        </w:rPr>
        <w:t>　　第三十四条 财务部门应当建立健全财务会计岗位责任制。出纳以外的会计人员不得保管现金、有价证券和银行票据；出纳人员不得兼任稽核、会计档案保管和收入、费用、债权债务账目的登记工作。严禁由一人办理货币财务业务的全过程，基金会接受现金捐赠，收款人和开票人应当至少由两人分别承担，所收取的现金及时入账。未取得会计执业资格证书的人员，不得从事会计工作。</w:t>
      </w:r>
      <w:r>
        <w:rPr>
          <w:rFonts w:hint="eastAsia"/>
        </w:rPr>
        <w:br w:type="textWrapping"/>
      </w:r>
      <w:r>
        <w:rPr>
          <w:rFonts w:hint="eastAsia"/>
        </w:rPr>
        <w:t>    第三十五条  会计凭证、会计帐簿、财务会计报告和其他会计资料应当建立档案，健全会计档案的立卷、归档、保管、查阅和销毁等管理制度，确保会计档案妥善保管、有序存放、方便查阅。</w:t>
      </w:r>
      <w:r>
        <w:rPr>
          <w:rFonts w:hint="eastAsia"/>
        </w:rPr>
        <w:br w:type="textWrapping"/>
      </w:r>
      <w:r>
        <w:rPr>
          <w:rFonts w:hint="eastAsia"/>
        </w:rPr>
        <w:t>　第三十六条  财会人员调动，应当提前做好工作交接。</w:t>
      </w:r>
      <w:r>
        <w:rPr>
          <w:rFonts w:hint="eastAsia"/>
        </w:rPr>
        <w:br w:type="textWrapping"/>
      </w:r>
      <w:r>
        <w:rPr>
          <w:rFonts w:hint="eastAsia"/>
        </w:rPr>
        <w:t>　第三十七条  依法接受财务审计，如实反映情况，提供有关资料；自觉接受税务、会计主管部门依法实施的税务监督和会计监督。</w:t>
      </w:r>
    </w:p>
    <w:p w14:paraId="499E864D">
      <w:pPr>
        <w:spacing w:line="276" w:lineRule="auto"/>
      </w:pPr>
    </w:p>
    <w:p w14:paraId="61930167">
      <w:pPr>
        <w:spacing w:line="276" w:lineRule="auto"/>
        <w:jc w:val="center"/>
      </w:pPr>
      <w:bookmarkStart w:id="15" w:name="_Toc288174550_WPSOffice_Level1"/>
      <w:bookmarkStart w:id="16" w:name="_Toc1951151683_WPSOffice_Level1"/>
      <w:r>
        <w:rPr>
          <w:rFonts w:hint="eastAsia"/>
        </w:rPr>
        <w:t>第七章  附 则</w:t>
      </w:r>
      <w:bookmarkEnd w:id="15"/>
      <w:bookmarkEnd w:id="16"/>
    </w:p>
    <w:p w14:paraId="5FA9A68E">
      <w:pPr>
        <w:spacing w:line="276" w:lineRule="auto"/>
      </w:pPr>
      <w:r>
        <w:rPr>
          <w:rFonts w:hint="eastAsia"/>
        </w:rPr>
        <w:br w:type="textWrapping"/>
      </w:r>
      <w:r>
        <w:rPr>
          <w:rFonts w:hint="eastAsia"/>
        </w:rPr>
        <w:t>　　第三十八条  本制度未尽事宜或与有关规定不一致的，按有关规定执行。</w:t>
      </w:r>
      <w:r>
        <w:rPr>
          <w:rFonts w:hint="eastAsia"/>
        </w:rPr>
        <w:br w:type="textWrapping"/>
      </w:r>
      <w:r>
        <w:rPr>
          <w:rFonts w:hint="eastAsia"/>
        </w:rPr>
        <w:t>　　第三十九条  本制度由理事会负责解释。</w:t>
      </w:r>
      <w:r>
        <w:rPr>
          <w:rFonts w:hint="eastAsia"/>
        </w:rPr>
        <w:br w:type="textWrapping"/>
      </w:r>
      <w:r>
        <w:rPr>
          <w:rFonts w:hint="eastAsia"/>
        </w:rPr>
        <w:t>　　第四十条  本制度自理事会审议通过后执行。</w:t>
      </w:r>
    </w:p>
    <w:p w14:paraId="0A678322">
      <w:pPr>
        <w:spacing w:line="276" w:lineRule="auto"/>
      </w:pPr>
    </w:p>
    <w:p w14:paraId="401E7842">
      <w:r>
        <w:br w:type="page"/>
      </w:r>
    </w:p>
    <w:p w14:paraId="6BF84BB3">
      <w:pPr>
        <w:pStyle w:val="2"/>
      </w:pPr>
      <w:bookmarkStart w:id="17" w:name="_Toc1953220297"/>
      <w:bookmarkStart w:id="18" w:name="_Toc931046491_WPSOffice_Level1"/>
      <w:bookmarkStart w:id="19" w:name="_Toc2023309766"/>
      <w:r>
        <w:t>北京中致儿童关爱</w:t>
      </w:r>
      <w:r>
        <w:rPr>
          <w:rFonts w:hint="eastAsia"/>
        </w:rPr>
        <w:t>基金会</w:t>
      </w:r>
      <w:bookmarkEnd w:id="17"/>
      <w:bookmarkEnd w:id="18"/>
      <w:bookmarkEnd w:id="19"/>
    </w:p>
    <w:p w14:paraId="2F7CF60F">
      <w:pPr>
        <w:pStyle w:val="2"/>
      </w:pPr>
      <w:bookmarkStart w:id="20" w:name="_Toc1945947176_WPSOffice_Level1"/>
      <w:bookmarkStart w:id="21" w:name="_Toc1532522195_WPSOffice_Level1"/>
      <w:bookmarkStart w:id="22" w:name="_Toc363686917"/>
      <w:bookmarkStart w:id="23" w:name="_Toc1338503637"/>
      <w:r>
        <w:rPr>
          <w:rFonts w:hint="eastAsia"/>
        </w:rPr>
        <w:t>专项基金管理制度</w:t>
      </w:r>
      <w:bookmarkEnd w:id="20"/>
      <w:bookmarkEnd w:id="21"/>
      <w:bookmarkEnd w:id="22"/>
      <w:bookmarkEnd w:id="23"/>
    </w:p>
    <w:p w14:paraId="67F863CE">
      <w:pPr>
        <w:widowControl/>
        <w:shd w:val="clear" w:color="auto" w:fill="FFFFFF"/>
        <w:spacing w:before="156" w:beforeLines="50" w:after="156" w:afterLines="50" w:line="480" w:lineRule="exact"/>
        <w:jc w:val="center"/>
        <w:rPr>
          <w:rFonts w:ascii="宋体" w:hAnsi="宋体" w:eastAsia="宋体" w:cs="Times New Roman"/>
          <w:b/>
          <w:bCs/>
          <w:color w:val="000000" w:themeColor="text1"/>
          <w:kern w:val="0"/>
          <w14:textFill>
            <w14:solidFill>
              <w14:schemeClr w14:val="tx1"/>
            </w14:solidFill>
          </w14:textFill>
        </w:rPr>
      </w:pPr>
      <w:bookmarkStart w:id="24" w:name="_Toc181669247_WPSOffice_Level1"/>
      <w:bookmarkStart w:id="25" w:name="_Toc1505726869_WPSOffice_Level1"/>
      <w:r>
        <w:rPr>
          <w:rFonts w:hint="eastAsia" w:ascii="宋体" w:hAnsi="宋体" w:eastAsia="宋体" w:cs="Times New Roman"/>
          <w:b/>
          <w:bCs/>
          <w:color w:val="000000" w:themeColor="text1"/>
          <w:kern w:val="0"/>
          <w14:textFill>
            <w14:solidFill>
              <w14:schemeClr w14:val="tx1"/>
            </w14:solidFill>
          </w14:textFill>
        </w:rPr>
        <w:t>第一章 总则</w:t>
      </w:r>
      <w:bookmarkEnd w:id="24"/>
      <w:bookmarkEnd w:id="25"/>
    </w:p>
    <w:p w14:paraId="3F19C52E">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第一条 为进一步加强专项基金管理工作，规范专项基金的行为，维护捐赠人、受助人和基金会的合法权益，根据《中华人民共和国慈善法》《基金会管理条例》《民政部关于进一步加强基金会专项基金管理工作的通知》等法律法规和本基金会章程，结合实际，制定本制度。</w:t>
      </w:r>
    </w:p>
    <w:p w14:paraId="5AAE4C67">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第二条 基金会专项基金接受基金会统一管理，不具备独立的法人资格，不得以独立组织的名义开展募捐、不得与其他组织和个人签订协议或开展其他活动，不得以自己名义对外宣传或开展业务活动。</w:t>
      </w:r>
    </w:p>
    <w:p w14:paraId="6BB5EB53">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第三条 基金会不应过于追求专项基金数量的增长和筹款规模的扩大而忽视了事中事后监管，对下设专项基金要严格履行监管职责，督促指导专项基金在本基金会的宗旨和业务范围内开展活动，不能偏离章程规定的公益宗旨和业务范围，不能忽视公开透明，不能背离捐赠人和受助人的需求，更不能为个人和企业谋求私利，对下设专项基金的所有活动切实承担起主体责任。</w:t>
      </w:r>
    </w:p>
    <w:p w14:paraId="3D11BC2C">
      <w:pPr>
        <w:widowControl/>
        <w:shd w:val="clear" w:color="auto" w:fill="FFFFFF"/>
        <w:spacing w:before="156" w:beforeLines="50" w:after="156" w:afterLines="50" w:line="480" w:lineRule="exact"/>
        <w:ind w:firstLine="420"/>
        <w:jc w:val="center"/>
        <w:rPr>
          <w:rFonts w:ascii="宋体" w:hAnsi="宋体" w:eastAsia="宋体" w:cs="Times New Roman"/>
          <w:b/>
          <w:bCs/>
          <w:color w:val="000000" w:themeColor="text1"/>
          <w:kern w:val="0"/>
          <w14:textFill>
            <w14:solidFill>
              <w14:schemeClr w14:val="tx1"/>
            </w14:solidFill>
          </w14:textFill>
        </w:rPr>
      </w:pPr>
      <w:bookmarkStart w:id="26" w:name="_Toc1740771942_WPSOffice_Level1"/>
      <w:bookmarkStart w:id="27" w:name="_Toc804191035_WPSOffice_Level1"/>
      <w:r>
        <w:rPr>
          <w:rFonts w:hint="eastAsia" w:ascii="宋体" w:hAnsi="宋体" w:eastAsia="宋体" w:cs="Times New Roman"/>
          <w:b/>
          <w:bCs/>
          <w:color w:val="000000" w:themeColor="text1"/>
          <w:kern w:val="0"/>
          <w14:textFill>
            <w14:solidFill>
              <w14:schemeClr w14:val="tx1"/>
            </w14:solidFill>
          </w14:textFill>
        </w:rPr>
        <w:t>第二章 专项基金的设立</w:t>
      </w:r>
      <w:bookmarkEnd w:id="26"/>
      <w:bookmarkEnd w:id="27"/>
    </w:p>
    <w:p w14:paraId="6C6CC8E9">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第四条 基金会应严把专项基金会设立关口。基金会要根据自己的管理能力合理适度发展专项基金，明确专项基金设立和终止的条件和决策程序，并严格执行。</w:t>
      </w:r>
    </w:p>
    <w:p w14:paraId="24648630">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第五条 如专项</w:t>
      </w:r>
      <w:r>
        <w:rPr>
          <w:rFonts w:ascii="宋体" w:hAnsi="宋体" w:eastAsia="宋体" w:cs="Times New Roman"/>
          <w:color w:val="000000" w:themeColor="text1"/>
          <w:kern w:val="0"/>
          <w14:textFill>
            <w14:solidFill>
              <w14:schemeClr w14:val="tx1"/>
            </w14:solidFill>
          </w14:textFill>
        </w:rPr>
        <w:t>基金由</w:t>
      </w:r>
      <w:r>
        <w:rPr>
          <w:rFonts w:hint="eastAsia" w:ascii="宋体" w:hAnsi="宋体" w:eastAsia="宋体" w:cs="Times New Roman"/>
          <w:color w:val="000000" w:themeColor="text1"/>
          <w:kern w:val="0"/>
          <w14:textFill>
            <w14:solidFill>
              <w14:schemeClr w14:val="tx1"/>
            </w14:solidFill>
          </w14:textFill>
        </w:rPr>
        <w:t>第三方</w:t>
      </w:r>
      <w:r>
        <w:rPr>
          <w:rFonts w:ascii="宋体" w:hAnsi="宋体" w:eastAsia="宋体" w:cs="Times New Roman"/>
          <w:color w:val="000000" w:themeColor="text1"/>
          <w:kern w:val="0"/>
          <w14:textFill>
            <w14:solidFill>
              <w14:schemeClr w14:val="tx1"/>
            </w14:solidFill>
          </w14:textFill>
        </w:rPr>
        <w:t>发起人发起，</w:t>
      </w:r>
      <w:r>
        <w:rPr>
          <w:rFonts w:hint="eastAsia" w:ascii="宋体" w:hAnsi="宋体" w:eastAsia="宋体" w:cs="Times New Roman"/>
          <w:color w:val="000000" w:themeColor="text1"/>
          <w:kern w:val="0"/>
          <w14:textFill>
            <w14:solidFill>
              <w14:schemeClr w14:val="tx1"/>
            </w14:solidFill>
          </w14:textFill>
        </w:rPr>
        <w:t>基金会应当与发起人以签订协议的方式明确专项基金的设立目的、财产使用方式、各方的权利责任、终止条件和剩余财产的处理等。</w:t>
      </w:r>
    </w:p>
    <w:p w14:paraId="3F7C9683">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第六条 要规范专项基金会名称使用。基金会要监督专项基金使用带有基金会全称的规范名称。</w:t>
      </w:r>
    </w:p>
    <w:p w14:paraId="29A6E679">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第七条 专项基金设立的程序是：</w:t>
      </w:r>
    </w:p>
    <w:p w14:paraId="02E4835B">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（一）专项基金发起人或</w:t>
      </w:r>
      <w:r>
        <w:rPr>
          <w:rFonts w:ascii="宋体" w:hAnsi="宋体" w:eastAsia="宋体" w:cs="Times New Roman"/>
          <w:color w:val="000000" w:themeColor="text1"/>
          <w:kern w:val="0"/>
          <w14:textFill>
            <w14:solidFill>
              <w14:schemeClr w14:val="tx1"/>
            </w14:solidFill>
          </w14:textFill>
        </w:rPr>
        <w:t>秘书长</w:t>
      </w:r>
      <w:r>
        <w:rPr>
          <w:rFonts w:hint="eastAsia" w:ascii="宋体" w:hAnsi="宋体" w:eastAsia="宋体" w:cs="Times New Roman"/>
          <w:color w:val="000000" w:themeColor="text1"/>
          <w:kern w:val="0"/>
          <w14:textFill>
            <w14:solidFill>
              <w14:schemeClr w14:val="tx1"/>
            </w14:solidFill>
          </w14:textFill>
        </w:rPr>
        <w:t>提交设立专项基金的可行性报告；</w:t>
      </w:r>
    </w:p>
    <w:p w14:paraId="138FF3E8">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（二）理事长初步审核设立报告，经履行</w:t>
      </w:r>
      <w:r>
        <w:rPr>
          <w:rFonts w:ascii="宋体" w:hAnsi="宋体" w:eastAsia="宋体" w:cs="Times New Roman"/>
          <w:color w:val="000000" w:themeColor="text1"/>
          <w:kern w:val="0"/>
          <w14:textFill>
            <w14:solidFill>
              <w14:schemeClr w14:val="tx1"/>
            </w14:solidFill>
          </w14:textFill>
        </w:rPr>
        <w:t>内部</w:t>
      </w:r>
      <w:r>
        <w:rPr>
          <w:rFonts w:hint="eastAsia" w:ascii="宋体" w:hAnsi="宋体" w:eastAsia="宋体" w:cs="Times New Roman"/>
          <w:color w:val="000000" w:themeColor="text1"/>
          <w:kern w:val="0"/>
          <w14:textFill>
            <w14:solidFill>
              <w14:schemeClr w14:val="tx1"/>
            </w14:solidFill>
          </w14:textFill>
        </w:rPr>
        <w:t>审批</w:t>
      </w:r>
      <w:r>
        <w:rPr>
          <w:rFonts w:ascii="宋体" w:hAnsi="宋体" w:eastAsia="宋体" w:cs="Times New Roman"/>
          <w:color w:val="000000" w:themeColor="text1"/>
          <w:kern w:val="0"/>
          <w14:textFill>
            <w14:solidFill>
              <w14:schemeClr w14:val="tx1"/>
            </w14:solidFill>
          </w14:textFill>
        </w:rPr>
        <w:t>程序后</w:t>
      </w:r>
      <w:r>
        <w:rPr>
          <w:rFonts w:hint="eastAsia" w:ascii="宋体" w:hAnsi="宋体" w:eastAsia="宋体" w:cs="Times New Roman"/>
          <w:color w:val="000000" w:themeColor="text1"/>
          <w:kern w:val="0"/>
          <w14:textFill>
            <w14:solidFill>
              <w14:schemeClr w14:val="tx1"/>
            </w14:solidFill>
          </w14:textFill>
        </w:rPr>
        <w:t>，提交基金会理事会会议决策；</w:t>
      </w:r>
    </w:p>
    <w:p w14:paraId="148CC774">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（三）专项基金成立应当经过全体理事三分之二以上同意，方可设立；</w:t>
      </w:r>
    </w:p>
    <w:p w14:paraId="77CC7226">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（四）专项基金成立后，应当在基金会官方网站、微信等平台对外发布。发布信息包含专项基金名称、业务活动范围、专项基金成员、原始出资等情况。</w:t>
      </w:r>
    </w:p>
    <w:p w14:paraId="794400CE">
      <w:pPr>
        <w:widowControl/>
        <w:shd w:val="clear" w:color="auto" w:fill="FFFFFF"/>
        <w:spacing w:before="156" w:beforeLines="50" w:after="156" w:afterLines="50" w:line="480" w:lineRule="exact"/>
        <w:ind w:firstLine="420"/>
        <w:jc w:val="center"/>
        <w:rPr>
          <w:rFonts w:ascii="宋体" w:hAnsi="宋体" w:eastAsia="宋体" w:cs="Times New Roman"/>
          <w:b/>
          <w:bCs/>
          <w:color w:val="000000" w:themeColor="text1"/>
          <w:kern w:val="0"/>
          <w14:textFill>
            <w14:solidFill>
              <w14:schemeClr w14:val="tx1"/>
            </w14:solidFill>
          </w14:textFill>
        </w:rPr>
      </w:pPr>
      <w:bookmarkStart w:id="28" w:name="_Toc1984306113_WPSOffice_Level1"/>
      <w:bookmarkStart w:id="29" w:name="_Toc1924134674_WPSOffice_Level1"/>
      <w:r>
        <w:rPr>
          <w:rFonts w:hint="eastAsia" w:ascii="宋体" w:hAnsi="宋体" w:eastAsia="宋体" w:cs="Times New Roman"/>
          <w:b/>
          <w:bCs/>
          <w:color w:val="000000" w:themeColor="text1"/>
          <w:kern w:val="0"/>
          <w14:textFill>
            <w14:solidFill>
              <w14:schemeClr w14:val="tx1"/>
            </w14:solidFill>
          </w14:textFill>
        </w:rPr>
        <w:t>第三章 专项基金的管理</w:t>
      </w:r>
      <w:bookmarkEnd w:id="28"/>
      <w:bookmarkEnd w:id="29"/>
    </w:p>
    <w:p w14:paraId="40DFD958">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第八条 基金会要制定具体措施，对专项基金的活动实施全过程监管。</w:t>
      </w:r>
    </w:p>
    <w:p w14:paraId="66A1DE35">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（一）对专项基金的人员实施严格管理；</w:t>
      </w:r>
    </w:p>
    <w:p w14:paraId="6AD67DE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根据专项基金的设立目的，按照捐赠协议的约定管理和使用捐赠财产，专款专用；专项基金列支管理成本时，捐赠协议有约定的，按照其约定；捐赠协议未约定的，除了为实现专项基金公益目的确有必要之外，一般不超过该专项基金年度总支出的10%；</w:t>
      </w:r>
    </w:p>
    <w:p w14:paraId="41A90147">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（三）专项基金的收支应当全部纳入基金会账户，不得使用其他单位、组织或个人账户，不得开设独立账户和刻制印章；</w:t>
      </w:r>
    </w:p>
    <w:p w14:paraId="0BA2CC19">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（四）专项基金不得再设立专项基金。</w:t>
      </w:r>
    </w:p>
    <w:p w14:paraId="7F7CA39C">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第九条 基金会应当做好专项基金的信息公开，对专项基金的设立和终止信息、管理架构和人员信息、开展的募捐和公益资助项目等信息依照有关法律法规进行全面及时披露。</w:t>
      </w:r>
    </w:p>
    <w:p w14:paraId="6B9D9147">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第十条  基金会应当按照登记管理机关的要求，通过年度工作报告和其他方式就专项基金的情况进行报告、接受监管。</w:t>
      </w:r>
    </w:p>
    <w:p w14:paraId="16DB4981">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第十一条 基金会应当定期对下设专项基金进行清理整顿，对于长期不开展活动、管理不善的专项基金要及时督促整改，必要时应当予以终止。</w:t>
      </w:r>
    </w:p>
    <w:p w14:paraId="759FA550">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第十二条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专项基金终止的，基金会应当做好后续事宜，妥善处理剩余财产，保护专项基金捐赠人和受助人的合法权益。</w:t>
      </w:r>
    </w:p>
    <w:p w14:paraId="0895EAE6">
      <w:pPr>
        <w:widowControl/>
        <w:shd w:val="clear" w:color="auto" w:fill="FFFFFF"/>
        <w:spacing w:before="156" w:beforeLines="50" w:after="156" w:afterLines="50" w:line="480" w:lineRule="exact"/>
        <w:ind w:firstLine="420"/>
        <w:jc w:val="center"/>
        <w:rPr>
          <w:rFonts w:ascii="宋体" w:hAnsi="宋体" w:eastAsia="宋体" w:cs="Times New Roman"/>
          <w:b/>
          <w:bCs/>
          <w:color w:val="000000" w:themeColor="text1"/>
          <w:kern w:val="0"/>
          <w14:textFill>
            <w14:solidFill>
              <w14:schemeClr w14:val="tx1"/>
            </w14:solidFill>
          </w14:textFill>
        </w:rPr>
      </w:pPr>
      <w:bookmarkStart w:id="30" w:name="_Toc1959286928_WPSOffice_Level1"/>
      <w:bookmarkStart w:id="31" w:name="_Toc2122709392_WPSOffice_Level1"/>
      <w:r>
        <w:rPr>
          <w:rFonts w:hint="eastAsia" w:ascii="宋体" w:hAnsi="宋体" w:eastAsia="宋体" w:cs="Times New Roman"/>
          <w:b/>
          <w:bCs/>
          <w:color w:val="000000" w:themeColor="text1"/>
          <w:kern w:val="0"/>
          <w14:textFill>
            <w14:solidFill>
              <w14:schemeClr w14:val="tx1"/>
            </w14:solidFill>
          </w14:textFill>
        </w:rPr>
        <w:t>第四章 附则</w:t>
      </w:r>
      <w:bookmarkEnd w:id="30"/>
      <w:bookmarkEnd w:id="31"/>
    </w:p>
    <w:p w14:paraId="7A611E57">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第十三条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本制度未尽事宜，按有关规定执行。</w:t>
      </w:r>
    </w:p>
    <w:p w14:paraId="7AD5F6EC">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第十四条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本制度由理事会负责解释。</w:t>
      </w:r>
    </w:p>
    <w:p w14:paraId="7D6EBDBB">
      <w:pPr>
        <w:widowControl/>
        <w:shd w:val="clear" w:color="auto" w:fill="FFFFFF"/>
        <w:spacing w:before="156" w:beforeLines="50" w:after="156" w:afterLines="50" w:line="480" w:lineRule="exact"/>
        <w:ind w:firstLine="42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第十五条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本制度自理事会审议通过后执行。</w:t>
      </w:r>
    </w:p>
    <w:p w14:paraId="1C71B4D5">
      <w:pPr>
        <w:widowControl/>
        <w:spacing w:before="156" w:beforeLines="50" w:after="156" w:afterLines="50" w:line="480" w:lineRule="exact"/>
        <w:jc w:val="left"/>
        <w:rPr>
          <w:rFonts w:ascii="Times" w:hAnsi="Times" w:eastAsia="Times New Roman" w:cs="Times New Roman"/>
          <w:color w:val="000000" w:themeColor="text1"/>
          <w:kern w:val="0"/>
          <w14:textFill>
            <w14:solidFill>
              <w14:schemeClr w14:val="tx1"/>
            </w14:solidFill>
          </w14:textFill>
        </w:rPr>
      </w:pPr>
    </w:p>
    <w:p w14:paraId="513319A2">
      <w:pPr>
        <w:spacing w:before="156" w:beforeLines="50" w:after="156" w:afterLines="50" w:line="480" w:lineRule="exact"/>
        <w:rPr>
          <w:color w:val="000000" w:themeColor="text1"/>
          <w14:textFill>
            <w14:solidFill>
              <w14:schemeClr w14:val="tx1"/>
            </w14:solidFill>
          </w14:textFill>
        </w:rPr>
      </w:pPr>
    </w:p>
    <w:p w14:paraId="306B35EB">
      <w:r>
        <w:br w:type="page"/>
      </w:r>
    </w:p>
    <w:p w14:paraId="1C003896">
      <w:pPr>
        <w:pStyle w:val="2"/>
      </w:pPr>
      <w:bookmarkStart w:id="32" w:name="_Toc1339424734"/>
      <w:bookmarkStart w:id="33" w:name="_Toc747554657"/>
      <w:bookmarkStart w:id="34" w:name="_Toc221155798_WPSOffice_Level1"/>
      <w:bookmarkStart w:id="35" w:name="_Toc1798963662"/>
      <w:r>
        <w:t>北京中致儿童关爱基金会</w:t>
      </w:r>
      <w:bookmarkEnd w:id="32"/>
      <w:bookmarkEnd w:id="33"/>
      <w:bookmarkEnd w:id="34"/>
      <w:bookmarkEnd w:id="35"/>
    </w:p>
    <w:p w14:paraId="4F879F85">
      <w:pPr>
        <w:pStyle w:val="2"/>
      </w:pPr>
      <w:bookmarkStart w:id="36" w:name="_Toc632230402_WPSOffice_Level1"/>
      <w:bookmarkStart w:id="37" w:name="_Toc1818787676_WPSOffice_Level1"/>
      <w:bookmarkStart w:id="38" w:name="_Toc1787916484"/>
      <w:bookmarkStart w:id="39" w:name="_Toc760001121"/>
      <w:bookmarkStart w:id="40" w:name="_Toc1371785249"/>
      <w:r>
        <w:t>保值增值投资活动管理办法</w:t>
      </w:r>
      <w:bookmarkEnd w:id="36"/>
      <w:bookmarkEnd w:id="37"/>
      <w:bookmarkEnd w:id="38"/>
      <w:bookmarkEnd w:id="39"/>
      <w:bookmarkEnd w:id="40"/>
    </w:p>
    <w:p w14:paraId="20FF80AB">
      <w:pPr>
        <w:pStyle w:val="15"/>
        <w:shd w:val="clear" w:color="auto" w:fill="FFFFFF"/>
        <w:spacing w:before="156" w:beforeLines="50" w:beforeAutospacing="0" w:after="156" w:afterLines="50" w:afterAutospacing="0" w:line="480" w:lineRule="exact"/>
        <w:jc w:val="center"/>
        <w:rPr>
          <w:color w:val="000000" w:themeColor="text1"/>
          <w:spacing w:val="8"/>
          <w:sz w:val="24"/>
          <w:szCs w:val="24"/>
          <w14:textFill>
            <w14:solidFill>
              <w14:schemeClr w14:val="tx1"/>
            </w14:solidFill>
          </w14:textFill>
        </w:rPr>
      </w:pPr>
      <w:bookmarkStart w:id="41" w:name="_Toc1082239134_WPSOffice_Level1"/>
      <w:bookmarkStart w:id="42" w:name="_Toc147281058_WPSOffice_Level1"/>
      <w:r>
        <w:rPr>
          <w:rStyle w:val="20"/>
          <w:color w:val="000000" w:themeColor="text1"/>
          <w:spacing w:val="8"/>
          <w:sz w:val="24"/>
          <w:szCs w:val="24"/>
          <w14:textFill>
            <w14:solidFill>
              <w14:schemeClr w14:val="tx1"/>
            </w14:solidFill>
          </w14:textFill>
        </w:rPr>
        <w:t>第一章 总则</w:t>
      </w:r>
      <w:bookmarkEnd w:id="41"/>
      <w:bookmarkEnd w:id="42"/>
    </w:p>
    <w:p w14:paraId="04F7E150">
      <w:pPr>
        <w:spacing w:before="156" w:beforeLines="50" w:after="156" w:afterLines="50" w:line="480" w:lineRule="exact"/>
        <w:ind w:firstLine="512" w:firstLineChars="200"/>
        <w:rPr>
          <w:rStyle w:val="20"/>
          <w:rFonts w:ascii="宋体" w:hAnsi="宋体" w:eastAsia="宋体" w:cs="宋体"/>
          <w:b w:val="0"/>
          <w:bCs w:val="0"/>
          <w:color w:val="000000" w:themeColor="text1"/>
          <w:spacing w:val="8"/>
          <w:kern w:val="0"/>
          <w:szCs w:val="22"/>
          <w14:textFill>
            <w14:solidFill>
              <w14:schemeClr w14:val="tx1"/>
            </w14:solidFill>
          </w14:textFill>
        </w:rPr>
      </w:pPr>
      <w:r>
        <w:rPr>
          <w:rStyle w:val="20"/>
          <w:rFonts w:ascii="宋体" w:hAnsi="宋体" w:eastAsia="宋体" w:cs="宋体"/>
          <w:b w:val="0"/>
          <w:bCs w:val="0"/>
          <w:color w:val="000000" w:themeColor="text1"/>
          <w:spacing w:val="8"/>
          <w:kern w:val="0"/>
          <w:szCs w:val="22"/>
          <w14:textFill>
            <w14:solidFill>
              <w14:schemeClr w14:val="tx1"/>
            </w14:solidFill>
          </w14:textFill>
        </w:rPr>
        <w:t>第一条  为规范</w:t>
      </w:r>
      <w:r>
        <w:rPr>
          <w:rStyle w:val="20"/>
          <w:rFonts w:hint="eastAsia" w:ascii="宋体" w:hAnsi="宋体" w:eastAsia="宋体" w:cs="宋体"/>
          <w:b w:val="0"/>
          <w:bCs w:val="0"/>
          <w:color w:val="000000" w:themeColor="text1"/>
          <w:spacing w:val="8"/>
          <w:kern w:val="0"/>
          <w:szCs w:val="22"/>
          <w14:textFill>
            <w14:solidFill>
              <w14:schemeClr w14:val="tx1"/>
            </w14:solidFill>
          </w14:textFill>
        </w:rPr>
        <w:t>本</w:t>
      </w:r>
      <w:r>
        <w:rPr>
          <w:rStyle w:val="20"/>
          <w:rFonts w:ascii="宋体" w:hAnsi="宋体" w:eastAsia="宋体" w:cs="宋体"/>
          <w:b w:val="0"/>
          <w:bCs w:val="0"/>
          <w:color w:val="000000" w:themeColor="text1"/>
          <w:spacing w:val="8"/>
          <w:kern w:val="0"/>
          <w:szCs w:val="22"/>
          <w14:textFill>
            <w14:solidFill>
              <w14:schemeClr w14:val="tx1"/>
            </w14:solidFill>
          </w14:textFill>
        </w:rPr>
        <w:t>基金会投资行为，提高投资效益，规避法律风险，合法、有效、合理的使用资金，实现慈善财产的保值增值，依照《中华人民共和国慈善法》《慈善组织保值增值投资活动管理暂行办法》等法律法规</w:t>
      </w:r>
      <w:r>
        <w:rPr>
          <w:rStyle w:val="20"/>
          <w:rFonts w:hint="eastAsia" w:ascii="宋体" w:hAnsi="宋体" w:eastAsia="宋体" w:cs="宋体"/>
          <w:b w:val="0"/>
          <w:bCs w:val="0"/>
          <w:color w:val="000000" w:themeColor="text1"/>
          <w:spacing w:val="8"/>
          <w:kern w:val="0"/>
          <w:szCs w:val="22"/>
          <w14:textFill>
            <w14:solidFill>
              <w14:schemeClr w14:val="tx1"/>
            </w14:solidFill>
          </w14:textFill>
        </w:rPr>
        <w:t>以及本基金会章程</w:t>
      </w:r>
      <w:r>
        <w:rPr>
          <w:rStyle w:val="20"/>
          <w:rFonts w:ascii="宋体" w:hAnsi="宋体" w:eastAsia="宋体" w:cs="宋体"/>
          <w:b w:val="0"/>
          <w:bCs w:val="0"/>
          <w:color w:val="000000" w:themeColor="text1"/>
          <w:spacing w:val="8"/>
          <w:kern w:val="0"/>
          <w:szCs w:val="22"/>
          <w14:textFill>
            <w14:solidFill>
              <w14:schemeClr w14:val="tx1"/>
            </w14:solidFill>
          </w14:textFill>
        </w:rPr>
        <w:t>，制定本办法。</w:t>
      </w:r>
    </w:p>
    <w:p w14:paraId="348B6E97">
      <w:pPr>
        <w:spacing w:before="156" w:beforeLines="50" w:after="156" w:afterLines="50" w:line="480" w:lineRule="exact"/>
        <w:ind w:firstLine="512" w:firstLineChars="200"/>
        <w:rPr>
          <w:rStyle w:val="20"/>
          <w:rFonts w:ascii="宋体" w:hAnsi="宋体" w:eastAsia="宋体" w:cs="宋体"/>
          <w:b w:val="0"/>
          <w:bCs w:val="0"/>
          <w:color w:val="000000" w:themeColor="text1"/>
          <w:spacing w:val="8"/>
          <w:kern w:val="0"/>
          <w:szCs w:val="22"/>
          <w14:textFill>
            <w14:solidFill>
              <w14:schemeClr w14:val="tx1"/>
            </w14:solidFill>
          </w14:textFill>
        </w:rPr>
      </w:pPr>
      <w:r>
        <w:rPr>
          <w:rStyle w:val="20"/>
          <w:rFonts w:ascii="宋体" w:hAnsi="宋体" w:eastAsia="宋体" w:cs="宋体"/>
          <w:b w:val="0"/>
          <w:bCs w:val="0"/>
          <w:color w:val="000000" w:themeColor="text1"/>
          <w:spacing w:val="8"/>
          <w:kern w:val="0"/>
          <w:szCs w:val="22"/>
          <w14:textFill>
            <w14:solidFill>
              <w14:schemeClr w14:val="tx1"/>
            </w14:solidFill>
          </w14:textFill>
        </w:rPr>
        <w:t>第二条  本办法规定了基金会的投资原则、投资范围、不得投资范围、审批权限、投资运作程序、重大投资标准、投资风险管控、投资活动止损退出机制、违规投资责任追究等内容。</w:t>
      </w:r>
    </w:p>
    <w:p w14:paraId="641E56FE">
      <w:pPr>
        <w:pStyle w:val="15"/>
        <w:shd w:val="clear" w:color="auto" w:fill="FFFFFF"/>
        <w:spacing w:before="156" w:beforeLines="50" w:beforeAutospacing="0" w:after="156" w:afterLines="50" w:afterAutospacing="0" w:line="480" w:lineRule="exact"/>
        <w:jc w:val="center"/>
        <w:rPr>
          <w:rStyle w:val="20"/>
          <w:color w:val="000000" w:themeColor="text1"/>
          <w:spacing w:val="8"/>
          <w:sz w:val="24"/>
          <w:szCs w:val="24"/>
          <w14:textFill>
            <w14:solidFill>
              <w14:schemeClr w14:val="tx1"/>
            </w14:solidFill>
          </w14:textFill>
        </w:rPr>
      </w:pPr>
      <w:bookmarkStart w:id="43" w:name="_Toc1451580462_WPSOffice_Level1"/>
      <w:bookmarkStart w:id="44" w:name="_Toc6635048_WPSOffice_Level1"/>
      <w:r>
        <w:rPr>
          <w:rStyle w:val="20"/>
          <w:color w:val="000000" w:themeColor="text1"/>
          <w:spacing w:val="8"/>
          <w:sz w:val="24"/>
          <w:szCs w:val="24"/>
          <w14:textFill>
            <w14:solidFill>
              <w14:schemeClr w14:val="tx1"/>
            </w14:solidFill>
          </w14:textFill>
        </w:rPr>
        <w:t>第二章 投资的基本原则</w:t>
      </w:r>
      <w:bookmarkEnd w:id="43"/>
      <w:bookmarkEnd w:id="44"/>
    </w:p>
    <w:p w14:paraId="7AFC3AB1">
      <w:pPr>
        <w:spacing w:before="156" w:beforeLines="50" w:after="156" w:afterLines="50" w:line="480" w:lineRule="exact"/>
        <w:ind w:firstLine="480" w:firstLineChars="200"/>
        <w:jc w:val="left"/>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第三条  基金会投资遵循合法、安全、有效的基本原则，符合基金会宗旨和业务范围。</w:t>
      </w:r>
    </w:p>
    <w:p w14:paraId="39649223">
      <w:pPr>
        <w:spacing w:before="156" w:beforeLines="50" w:after="156" w:afterLines="50" w:line="480" w:lineRule="exact"/>
        <w:ind w:firstLine="480" w:firstLineChars="200"/>
        <w:jc w:val="left"/>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第四条  投资管理应遵循的基本原则：基金会的投资应遵循国家的法律法规；</w:t>
      </w:r>
      <w:r>
        <w:rPr>
          <w:rStyle w:val="20"/>
          <w:rFonts w:hint="eastAsia" w:ascii="宋体" w:hAnsi="宋体" w:eastAsia="宋体" w:cs="宋体"/>
          <w:b w:val="0"/>
          <w:bCs w:val="0"/>
          <w:color w:val="000000" w:themeColor="text1"/>
          <w:kern w:val="0"/>
          <w:szCs w:val="22"/>
          <w14:textFill>
            <w14:solidFill>
              <w14:schemeClr w14:val="tx1"/>
            </w14:solidFill>
          </w14:textFill>
        </w:rPr>
        <w:t>遵守章程和本办法程序规定，基</w:t>
      </w:r>
      <w:r>
        <w:rPr>
          <w:rStyle w:val="20"/>
          <w:rFonts w:ascii="宋体" w:hAnsi="宋体" w:eastAsia="宋体" w:cs="宋体"/>
          <w:b w:val="0"/>
          <w:bCs w:val="0"/>
          <w:color w:val="000000" w:themeColor="text1"/>
          <w:kern w:val="0"/>
          <w:szCs w:val="22"/>
          <w14:textFill>
            <w14:solidFill>
              <w14:schemeClr w14:val="tx1"/>
            </w14:solidFill>
          </w14:textFill>
        </w:rPr>
        <w:t>金会的投资必须注重</w:t>
      </w:r>
      <w:r>
        <w:rPr>
          <w:rStyle w:val="20"/>
          <w:rFonts w:hint="eastAsia" w:ascii="宋体" w:hAnsi="宋体" w:eastAsia="宋体" w:cs="宋体"/>
          <w:b w:val="0"/>
          <w:bCs w:val="0"/>
          <w:color w:val="000000" w:themeColor="text1"/>
          <w:kern w:val="0"/>
          <w:szCs w:val="22"/>
          <w14:textFill>
            <w14:solidFill>
              <w14:schemeClr w14:val="tx1"/>
            </w14:solidFill>
          </w14:textFill>
        </w:rPr>
        <w:t>风险评估</w:t>
      </w:r>
      <w:r>
        <w:rPr>
          <w:rStyle w:val="20"/>
          <w:rFonts w:ascii="宋体" w:hAnsi="宋体" w:eastAsia="宋体" w:cs="宋体"/>
          <w:b w:val="0"/>
          <w:bCs w:val="0"/>
          <w:color w:val="000000" w:themeColor="text1"/>
          <w:kern w:val="0"/>
          <w:szCs w:val="22"/>
          <w14:textFill>
            <w14:solidFill>
              <w14:schemeClr w14:val="tx1"/>
            </w14:solidFill>
          </w14:textFill>
        </w:rPr>
        <w:t>，</w:t>
      </w:r>
      <w:r>
        <w:rPr>
          <w:rStyle w:val="20"/>
          <w:rFonts w:hint="eastAsia" w:ascii="宋体" w:hAnsi="宋体" w:eastAsia="宋体" w:cs="宋体"/>
          <w:b w:val="0"/>
          <w:bCs w:val="0"/>
          <w:color w:val="000000" w:themeColor="text1"/>
          <w:kern w:val="0"/>
          <w:szCs w:val="22"/>
          <w14:textFill>
            <w14:solidFill>
              <w14:schemeClr w14:val="tx1"/>
            </w14:solidFill>
          </w14:textFill>
        </w:rPr>
        <w:t>防范法律风险。</w:t>
      </w:r>
    </w:p>
    <w:p w14:paraId="624709AD">
      <w:pPr>
        <w:spacing w:before="156" w:beforeLines="50" w:after="156" w:afterLines="50" w:line="480" w:lineRule="exact"/>
        <w:ind w:firstLine="480" w:firstLineChars="200"/>
        <w:jc w:val="left"/>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第五条  基金会可用于投资的财产是基金会非限定性资产和投资期间不需要拨付的限定性资产。</w:t>
      </w:r>
    </w:p>
    <w:p w14:paraId="5A4B1E31">
      <w:pPr>
        <w:pStyle w:val="15"/>
        <w:shd w:val="clear" w:color="auto" w:fill="FFFFFF"/>
        <w:spacing w:before="156" w:beforeLines="50" w:beforeAutospacing="0" w:after="156" w:afterLines="50" w:afterAutospacing="0" w:line="480" w:lineRule="exact"/>
        <w:jc w:val="center"/>
        <w:rPr>
          <w:sz w:val="24"/>
          <w:szCs w:val="24"/>
        </w:rPr>
      </w:pPr>
      <w:bookmarkStart w:id="45" w:name="_Toc1993585739_WPSOffice_Level1"/>
      <w:bookmarkStart w:id="46" w:name="_Toc1298594914_WPSOffice_Level1"/>
      <w:r>
        <w:rPr>
          <w:rStyle w:val="20"/>
          <w:color w:val="000000" w:themeColor="text1"/>
          <w:spacing w:val="8"/>
          <w:sz w:val="24"/>
          <w:szCs w:val="24"/>
          <w14:textFill>
            <w14:solidFill>
              <w14:schemeClr w14:val="tx1"/>
            </w14:solidFill>
          </w14:textFill>
        </w:rPr>
        <w:t>第三章 投资决策程序和管理流程</w:t>
      </w:r>
      <w:bookmarkEnd w:id="45"/>
      <w:bookmarkEnd w:id="46"/>
    </w:p>
    <w:p w14:paraId="0ED230AB">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第六条  理事会是基金会的最高投资决策机构，具体负责投资活动方案</w:t>
      </w:r>
      <w:r>
        <w:rPr>
          <w:rStyle w:val="20"/>
          <w:rFonts w:hint="eastAsia" w:ascii="宋体" w:hAnsi="宋体" w:eastAsia="宋体" w:cs="宋体"/>
          <w:b w:val="0"/>
          <w:bCs w:val="0"/>
          <w:color w:val="000000" w:themeColor="text1"/>
          <w:kern w:val="0"/>
          <w:szCs w:val="22"/>
          <w14:textFill>
            <w14:solidFill>
              <w14:schemeClr w14:val="tx1"/>
            </w14:solidFill>
          </w14:textFill>
        </w:rPr>
        <w:t>批准</w:t>
      </w:r>
      <w:r>
        <w:rPr>
          <w:rStyle w:val="20"/>
          <w:rFonts w:ascii="宋体" w:hAnsi="宋体" w:eastAsia="宋体" w:cs="宋体"/>
          <w:b w:val="0"/>
          <w:bCs w:val="0"/>
          <w:color w:val="000000" w:themeColor="text1"/>
          <w:kern w:val="0"/>
          <w:szCs w:val="22"/>
          <w14:textFill>
            <w14:solidFill>
              <w14:schemeClr w14:val="tx1"/>
            </w14:solidFill>
          </w14:textFill>
        </w:rPr>
        <w:t>、风险评估等工作。</w:t>
      </w:r>
      <w:r>
        <w:rPr>
          <w:rStyle w:val="20"/>
          <w:rFonts w:hint="eastAsia" w:ascii="宋体" w:hAnsi="宋体" w:eastAsia="宋体" w:cs="宋体"/>
          <w:b w:val="0"/>
          <w:bCs w:val="0"/>
          <w:color w:val="000000" w:themeColor="text1"/>
          <w:kern w:val="0"/>
          <w:szCs w:val="22"/>
          <w14:textFill>
            <w14:solidFill>
              <w14:schemeClr w14:val="tx1"/>
            </w14:solidFill>
          </w14:textFill>
        </w:rPr>
        <w:t>监事根</w:t>
      </w:r>
      <w:r>
        <w:rPr>
          <w:rStyle w:val="20"/>
          <w:rFonts w:ascii="宋体" w:hAnsi="宋体" w:eastAsia="宋体" w:cs="宋体"/>
          <w:b w:val="0"/>
          <w:bCs w:val="0"/>
          <w:color w:val="000000" w:themeColor="text1"/>
          <w:kern w:val="0"/>
          <w:szCs w:val="22"/>
          <w14:textFill>
            <w14:solidFill>
              <w14:schemeClr w14:val="tx1"/>
            </w14:solidFill>
          </w14:textFill>
        </w:rPr>
        <w:t>据章程实行监督。</w:t>
      </w:r>
    </w:p>
    <w:p w14:paraId="30A1D50E">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 xml:space="preserve">第七条  </w:t>
      </w:r>
      <w:r>
        <w:rPr>
          <w:rStyle w:val="20"/>
          <w:rFonts w:hint="eastAsia" w:ascii="宋体" w:hAnsi="宋体" w:eastAsia="宋体" w:cs="宋体"/>
          <w:b w:val="0"/>
          <w:bCs w:val="0"/>
          <w:color w:val="000000" w:themeColor="text1"/>
          <w:kern w:val="0"/>
          <w:szCs w:val="22"/>
          <w14:textFill>
            <w14:solidFill>
              <w14:schemeClr w14:val="tx1"/>
            </w14:solidFill>
          </w14:textFill>
        </w:rPr>
        <w:t>基金会财务</w:t>
      </w:r>
      <w:r>
        <w:rPr>
          <w:rStyle w:val="20"/>
          <w:rFonts w:ascii="宋体" w:hAnsi="宋体" w:eastAsia="宋体" w:cs="宋体"/>
          <w:b w:val="0"/>
          <w:bCs w:val="0"/>
          <w:color w:val="000000" w:themeColor="text1"/>
          <w:kern w:val="0"/>
          <w:szCs w:val="22"/>
          <w14:textFill>
            <w14:solidFill>
              <w14:schemeClr w14:val="tx1"/>
            </w14:solidFill>
          </w14:textFill>
        </w:rPr>
        <w:t>人员配合</w:t>
      </w:r>
      <w:r>
        <w:rPr>
          <w:rStyle w:val="20"/>
          <w:rFonts w:hint="eastAsia" w:ascii="宋体" w:hAnsi="宋体" w:eastAsia="宋体" w:cs="宋体"/>
          <w:b w:val="0"/>
          <w:bCs w:val="0"/>
          <w:color w:val="000000" w:themeColor="text1"/>
          <w:kern w:val="0"/>
          <w:szCs w:val="22"/>
          <w14:textFill>
            <w14:solidFill>
              <w14:schemeClr w14:val="tx1"/>
            </w14:solidFill>
          </w14:textFill>
        </w:rPr>
        <w:t>秘书长</w:t>
      </w:r>
      <w:r>
        <w:rPr>
          <w:rStyle w:val="20"/>
          <w:rFonts w:ascii="宋体" w:hAnsi="宋体" w:eastAsia="宋体" w:cs="宋体"/>
          <w:b w:val="0"/>
          <w:bCs w:val="0"/>
          <w:color w:val="000000" w:themeColor="text1"/>
          <w:kern w:val="0"/>
          <w:szCs w:val="22"/>
          <w14:textFill>
            <w14:solidFill>
              <w14:schemeClr w14:val="tx1"/>
            </w14:solidFill>
          </w14:textFill>
        </w:rPr>
        <w:t>提出投资项目方案，</w:t>
      </w:r>
      <w:r>
        <w:rPr>
          <w:rStyle w:val="20"/>
          <w:rFonts w:hint="eastAsia" w:ascii="宋体" w:hAnsi="宋体" w:eastAsia="宋体" w:cs="宋体"/>
          <w:b w:val="0"/>
          <w:bCs w:val="0"/>
          <w:color w:val="000000" w:themeColor="text1"/>
          <w:kern w:val="0"/>
          <w:szCs w:val="22"/>
          <w14:textFill>
            <w14:solidFill>
              <w14:schemeClr w14:val="tx1"/>
            </w14:solidFill>
          </w14:textFill>
        </w:rPr>
        <w:t>理事会成员就</w:t>
      </w:r>
      <w:r>
        <w:rPr>
          <w:rStyle w:val="20"/>
          <w:rFonts w:ascii="宋体" w:hAnsi="宋体" w:eastAsia="宋体" w:cs="宋体"/>
          <w:b w:val="0"/>
          <w:bCs w:val="0"/>
          <w:color w:val="000000" w:themeColor="text1"/>
          <w:kern w:val="0"/>
          <w:szCs w:val="22"/>
          <w14:textFill>
            <w14:solidFill>
              <w14:schemeClr w14:val="tx1"/>
            </w14:solidFill>
          </w14:textFill>
        </w:rPr>
        <w:t>投资项目方案进行充分论证，作出投资意见。</w:t>
      </w:r>
      <w:r>
        <w:rPr>
          <w:rStyle w:val="20"/>
          <w:rFonts w:hint="eastAsia" w:ascii="宋体" w:hAnsi="宋体" w:eastAsia="宋体" w:cs="宋体"/>
          <w:b w:val="0"/>
          <w:bCs w:val="0"/>
          <w:color w:val="000000" w:themeColor="text1"/>
          <w:kern w:val="0"/>
          <w:szCs w:val="22"/>
          <w14:textFill>
            <w14:solidFill>
              <w14:schemeClr w14:val="tx1"/>
            </w14:solidFill>
          </w14:textFill>
        </w:rPr>
        <w:t>理事</w:t>
      </w:r>
      <w:r>
        <w:rPr>
          <w:rStyle w:val="20"/>
          <w:rFonts w:ascii="宋体" w:hAnsi="宋体" w:eastAsia="宋体" w:cs="宋体"/>
          <w:b w:val="0"/>
          <w:bCs w:val="0"/>
          <w:color w:val="000000" w:themeColor="text1"/>
          <w:kern w:val="0"/>
          <w:szCs w:val="22"/>
          <w14:textFill>
            <w14:solidFill>
              <w14:schemeClr w14:val="tx1"/>
            </w14:solidFill>
          </w14:textFill>
        </w:rPr>
        <w:t>意见应当充分记录保存，必要的时候，可以通过网络会议进行讨论决策，网络会议的可以进行录音或录像。</w:t>
      </w:r>
    </w:p>
    <w:p w14:paraId="4B77581F">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 xml:space="preserve">第八条  </w:t>
      </w:r>
      <w:r>
        <w:rPr>
          <w:rStyle w:val="20"/>
          <w:rFonts w:hint="eastAsia" w:ascii="宋体" w:hAnsi="宋体" w:eastAsia="宋体" w:cs="宋体"/>
          <w:b w:val="0"/>
          <w:bCs w:val="0"/>
          <w:color w:val="000000" w:themeColor="text1"/>
          <w:kern w:val="0"/>
          <w:szCs w:val="22"/>
          <w14:textFill>
            <w14:solidFill>
              <w14:schemeClr w14:val="tx1"/>
            </w14:solidFill>
          </w14:textFill>
        </w:rPr>
        <w:t>所有的</w:t>
      </w:r>
      <w:r>
        <w:rPr>
          <w:rStyle w:val="20"/>
          <w:rFonts w:ascii="宋体" w:hAnsi="宋体" w:eastAsia="宋体" w:cs="宋体"/>
          <w:b w:val="0"/>
          <w:bCs w:val="0"/>
          <w:color w:val="000000" w:themeColor="text1"/>
          <w:kern w:val="0"/>
          <w:szCs w:val="22"/>
          <w14:textFill>
            <w14:solidFill>
              <w14:schemeClr w14:val="tx1"/>
            </w14:solidFill>
          </w14:textFill>
        </w:rPr>
        <w:t>投资事项</w:t>
      </w:r>
      <w:r>
        <w:rPr>
          <w:rStyle w:val="20"/>
          <w:rFonts w:hint="eastAsia" w:ascii="宋体" w:hAnsi="宋体" w:eastAsia="宋体" w:cs="宋体"/>
          <w:b w:val="0"/>
          <w:bCs w:val="0"/>
          <w:color w:val="000000" w:themeColor="text1"/>
          <w:kern w:val="0"/>
          <w:szCs w:val="22"/>
          <w14:textFill>
            <w14:solidFill>
              <w14:schemeClr w14:val="tx1"/>
            </w14:solidFill>
          </w14:textFill>
        </w:rPr>
        <w:t>，均需</w:t>
      </w:r>
      <w:r>
        <w:rPr>
          <w:rStyle w:val="20"/>
          <w:rFonts w:ascii="宋体" w:hAnsi="宋体" w:eastAsia="宋体" w:cs="宋体"/>
          <w:b w:val="0"/>
          <w:bCs w:val="0"/>
          <w:color w:val="000000" w:themeColor="text1"/>
          <w:kern w:val="0"/>
          <w:szCs w:val="22"/>
          <w14:textFill>
            <w14:solidFill>
              <w14:schemeClr w14:val="tx1"/>
            </w14:solidFill>
          </w14:textFill>
        </w:rPr>
        <w:t>理事会作出决策。</w:t>
      </w:r>
    </w:p>
    <w:p w14:paraId="3C7C7587">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第九条  理事会作出投资活动决议后，由秘书长负责落地执行，财务</w:t>
      </w:r>
      <w:r>
        <w:rPr>
          <w:rStyle w:val="20"/>
          <w:rFonts w:hint="eastAsia" w:ascii="宋体" w:hAnsi="宋体" w:eastAsia="宋体" w:cs="宋体"/>
          <w:b w:val="0"/>
          <w:bCs w:val="0"/>
          <w:color w:val="000000" w:themeColor="text1"/>
          <w:kern w:val="0"/>
          <w:szCs w:val="22"/>
          <w14:textFill>
            <w14:solidFill>
              <w14:schemeClr w14:val="tx1"/>
            </w14:solidFill>
          </w14:textFill>
        </w:rPr>
        <w:t>人员</w:t>
      </w:r>
      <w:r>
        <w:rPr>
          <w:rStyle w:val="20"/>
          <w:rFonts w:ascii="宋体" w:hAnsi="宋体" w:eastAsia="宋体" w:cs="宋体"/>
          <w:b w:val="0"/>
          <w:bCs w:val="0"/>
          <w:color w:val="000000" w:themeColor="text1"/>
          <w:kern w:val="0"/>
          <w:szCs w:val="22"/>
          <w14:textFill>
            <w14:solidFill>
              <w14:schemeClr w14:val="tx1"/>
            </w14:solidFill>
          </w14:textFill>
        </w:rPr>
        <w:t>负责人配合秘书长工作，档案管理人员负责投资活动所有材料的存档，投资专项档案保存时间不少于20年。</w:t>
      </w:r>
    </w:p>
    <w:p w14:paraId="0DB594D6">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第十条  基金会可以进行的投资</w:t>
      </w:r>
      <w:r>
        <w:rPr>
          <w:rStyle w:val="20"/>
          <w:rFonts w:hint="eastAsia" w:ascii="宋体" w:hAnsi="宋体" w:eastAsia="宋体" w:cs="宋体"/>
          <w:b w:val="0"/>
          <w:bCs w:val="0"/>
          <w:color w:val="000000" w:themeColor="text1"/>
          <w:kern w:val="0"/>
          <w:szCs w:val="22"/>
          <w14:textFill>
            <w14:solidFill>
              <w14:schemeClr w14:val="tx1"/>
            </w14:solidFill>
          </w14:textFill>
        </w:rPr>
        <w:t>的标的</w:t>
      </w:r>
      <w:r>
        <w:rPr>
          <w:rStyle w:val="20"/>
          <w:rFonts w:ascii="宋体" w:hAnsi="宋体" w:eastAsia="宋体" w:cs="宋体"/>
          <w:b w:val="0"/>
          <w:bCs w:val="0"/>
          <w:color w:val="000000" w:themeColor="text1"/>
          <w:kern w:val="0"/>
          <w:szCs w:val="22"/>
          <w14:textFill>
            <w14:solidFill>
              <w14:schemeClr w14:val="tx1"/>
            </w14:solidFill>
          </w14:textFill>
        </w:rPr>
        <w:t>包括：银行存款、货币市场基金、国债、中央银行票据、主体评级 3A 或以上的金融债券等</w:t>
      </w:r>
      <w:r>
        <w:rPr>
          <w:rStyle w:val="20"/>
          <w:rFonts w:hint="eastAsia" w:ascii="宋体" w:hAnsi="宋体" w:eastAsia="宋体" w:cs="宋体"/>
          <w:b w:val="0"/>
          <w:bCs w:val="0"/>
          <w:color w:val="000000" w:themeColor="text1"/>
          <w:kern w:val="0"/>
          <w:szCs w:val="22"/>
          <w14:textFill>
            <w14:solidFill>
              <w14:schemeClr w14:val="tx1"/>
            </w14:solidFill>
          </w14:textFill>
        </w:rPr>
        <w:t>与基金会的风险识别和风险承受能力相匹配的投资标的。</w:t>
      </w:r>
    </w:p>
    <w:p w14:paraId="0A1B9296">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第十</w:t>
      </w:r>
      <w:r>
        <w:rPr>
          <w:rStyle w:val="20"/>
          <w:rFonts w:hint="eastAsia" w:ascii="宋体" w:hAnsi="宋体" w:eastAsia="宋体" w:cs="宋体"/>
          <w:b w:val="0"/>
          <w:bCs w:val="0"/>
          <w:color w:val="000000" w:themeColor="text1"/>
          <w:kern w:val="0"/>
          <w:szCs w:val="22"/>
          <w14:textFill>
            <w14:solidFill>
              <w14:schemeClr w14:val="tx1"/>
            </w14:solidFill>
          </w14:textFill>
        </w:rPr>
        <w:t>一</w:t>
      </w:r>
      <w:r>
        <w:rPr>
          <w:rStyle w:val="20"/>
          <w:rFonts w:ascii="宋体" w:hAnsi="宋体" w:eastAsia="宋体" w:cs="宋体"/>
          <w:b w:val="0"/>
          <w:bCs w:val="0"/>
          <w:color w:val="000000" w:themeColor="text1"/>
          <w:kern w:val="0"/>
          <w:szCs w:val="22"/>
          <w14:textFill>
            <w14:solidFill>
              <w14:schemeClr w14:val="tx1"/>
            </w14:solidFill>
          </w14:textFill>
        </w:rPr>
        <w:t>条  基金会如进行对外投资，</w:t>
      </w:r>
      <w:r>
        <w:rPr>
          <w:rStyle w:val="20"/>
          <w:rFonts w:hint="eastAsia" w:ascii="宋体" w:hAnsi="宋体" w:eastAsia="宋体" w:cs="宋体"/>
          <w:b w:val="0"/>
          <w:bCs w:val="0"/>
          <w:color w:val="000000" w:themeColor="text1"/>
          <w:kern w:val="0"/>
          <w:szCs w:val="22"/>
          <w14:textFill>
            <w14:solidFill>
              <w14:schemeClr w14:val="tx1"/>
            </w14:solidFill>
          </w14:textFill>
        </w:rPr>
        <w:t>财务</w:t>
      </w:r>
      <w:r>
        <w:rPr>
          <w:rStyle w:val="20"/>
          <w:rFonts w:ascii="宋体" w:hAnsi="宋体" w:eastAsia="宋体" w:cs="宋体"/>
          <w:b w:val="0"/>
          <w:bCs w:val="0"/>
          <w:color w:val="000000" w:themeColor="text1"/>
          <w:kern w:val="0"/>
          <w:szCs w:val="22"/>
          <w14:textFill>
            <w14:solidFill>
              <w14:schemeClr w14:val="tx1"/>
            </w14:solidFill>
          </w14:textFill>
        </w:rPr>
        <w:t>人员配合秘书长以季度为单位，向理事会、监事出具定期报告，报告中披露报告期内投资以及相应的损益情况，披露内容至少应包括：</w:t>
      </w:r>
    </w:p>
    <w:p w14:paraId="5ED34AD9">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（一） 报告期末投资的组合情况，说明投资品种、金额以及占总投资的比例；</w:t>
      </w:r>
    </w:p>
    <w:p w14:paraId="6AEB562C">
      <w:pPr>
        <w:spacing w:before="156" w:beforeLines="50" w:after="156" w:afterLines="50" w:line="480" w:lineRule="exact"/>
        <w:ind w:firstLine="480" w:firstLineChars="200"/>
        <w:jc w:val="left"/>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（二） 报告期内投资理财的损益情况；</w:t>
      </w:r>
    </w:p>
    <w:p w14:paraId="6155D30A">
      <w:pPr>
        <w:spacing w:before="156" w:beforeLines="50" w:after="156" w:afterLines="50" w:line="480" w:lineRule="exact"/>
        <w:ind w:firstLine="480" w:firstLineChars="200"/>
        <w:jc w:val="left"/>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（三） 对所投资行为的建议等。</w:t>
      </w:r>
    </w:p>
    <w:p w14:paraId="348E069E">
      <w:pPr>
        <w:pStyle w:val="15"/>
        <w:shd w:val="clear" w:color="auto" w:fill="FFFFFF"/>
        <w:spacing w:before="156" w:beforeLines="50" w:beforeAutospacing="0" w:after="156" w:afterLines="50" w:afterAutospacing="0" w:line="480" w:lineRule="exact"/>
        <w:jc w:val="center"/>
        <w:rPr>
          <w:rStyle w:val="20"/>
          <w:color w:val="000000" w:themeColor="text1"/>
          <w:spacing w:val="8"/>
          <w:sz w:val="24"/>
          <w:szCs w:val="24"/>
          <w14:textFill>
            <w14:solidFill>
              <w14:schemeClr w14:val="tx1"/>
            </w14:solidFill>
          </w14:textFill>
        </w:rPr>
      </w:pPr>
      <w:bookmarkStart w:id="47" w:name="_Toc608415137_WPSOffice_Level1"/>
      <w:bookmarkStart w:id="48" w:name="_Toc1155654879_WPSOffice_Level1"/>
      <w:r>
        <w:rPr>
          <w:rStyle w:val="20"/>
          <w:color w:val="000000" w:themeColor="text1"/>
          <w:spacing w:val="8"/>
          <w:sz w:val="24"/>
          <w:szCs w:val="24"/>
          <w14:textFill>
            <w14:solidFill>
              <w14:schemeClr w14:val="tx1"/>
            </w14:solidFill>
          </w14:textFill>
        </w:rPr>
        <w:t>第四章 决策机构、监督机构相关职责</w:t>
      </w:r>
      <w:bookmarkEnd w:id="47"/>
      <w:bookmarkEnd w:id="48"/>
    </w:p>
    <w:p w14:paraId="47A0A906">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第十</w:t>
      </w:r>
      <w:r>
        <w:rPr>
          <w:rStyle w:val="20"/>
          <w:rFonts w:hint="eastAsia" w:ascii="宋体" w:hAnsi="宋体" w:eastAsia="宋体" w:cs="宋体"/>
          <w:b w:val="0"/>
          <w:bCs w:val="0"/>
          <w:color w:val="000000" w:themeColor="text1"/>
          <w:kern w:val="0"/>
          <w:szCs w:val="22"/>
          <w14:textFill>
            <w14:solidFill>
              <w14:schemeClr w14:val="tx1"/>
            </w14:solidFill>
          </w14:textFill>
        </w:rPr>
        <w:t>二</w:t>
      </w:r>
      <w:r>
        <w:rPr>
          <w:rStyle w:val="20"/>
          <w:rFonts w:ascii="宋体" w:hAnsi="宋体" w:eastAsia="宋体" w:cs="宋体"/>
          <w:b w:val="0"/>
          <w:bCs w:val="0"/>
          <w:color w:val="000000" w:themeColor="text1"/>
          <w:kern w:val="0"/>
          <w:szCs w:val="22"/>
          <w14:textFill>
            <w14:solidFill>
              <w14:schemeClr w14:val="tx1"/>
            </w14:solidFill>
          </w14:textFill>
        </w:rPr>
        <w:t>条  理事会为基金会投资最高决策机构，理事会投资职责如下：</w:t>
      </w:r>
    </w:p>
    <w:p w14:paraId="79812BE9">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（一）</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负责投资管理办法的制定和修改；</w:t>
      </w:r>
    </w:p>
    <w:p w14:paraId="6B7E7697">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（二） 制定具体投资方案；</w:t>
      </w:r>
    </w:p>
    <w:p w14:paraId="6D985CE3">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w:t>
      </w:r>
      <w:r>
        <w:rPr>
          <w:rStyle w:val="20"/>
          <w:rFonts w:hint="eastAsia" w:ascii="宋体" w:hAnsi="宋体" w:eastAsia="宋体" w:cs="宋体"/>
          <w:b w:val="0"/>
          <w:bCs w:val="0"/>
          <w:color w:val="000000" w:themeColor="text1"/>
          <w:kern w:val="0"/>
          <w:szCs w:val="22"/>
          <w14:textFill>
            <w14:solidFill>
              <w14:schemeClr w14:val="tx1"/>
            </w14:solidFill>
          </w14:textFill>
        </w:rPr>
        <w:t>三</w:t>
      </w:r>
      <w:r>
        <w:rPr>
          <w:rStyle w:val="20"/>
          <w:rFonts w:ascii="宋体" w:hAnsi="宋体" w:eastAsia="宋体" w:cs="宋体"/>
          <w:b w:val="0"/>
          <w:bCs w:val="0"/>
          <w:color w:val="000000" w:themeColor="text1"/>
          <w:kern w:val="0"/>
          <w:szCs w:val="22"/>
          <w14:textFill>
            <w14:solidFill>
              <w14:schemeClr w14:val="tx1"/>
            </w14:solidFill>
          </w14:textFill>
        </w:rPr>
        <w:t>） 对投资方案进行效益以及风险评估；</w:t>
      </w:r>
    </w:p>
    <w:p w14:paraId="09306F2C">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w:t>
      </w:r>
      <w:r>
        <w:rPr>
          <w:rStyle w:val="20"/>
          <w:rFonts w:hint="eastAsia" w:ascii="宋体" w:hAnsi="宋体" w:eastAsia="宋体" w:cs="宋体"/>
          <w:b w:val="0"/>
          <w:bCs w:val="0"/>
          <w:color w:val="000000" w:themeColor="text1"/>
          <w:kern w:val="0"/>
          <w:szCs w:val="22"/>
          <w14:textFill>
            <w14:solidFill>
              <w14:schemeClr w14:val="tx1"/>
            </w14:solidFill>
          </w14:textFill>
        </w:rPr>
        <w:t>四</w:t>
      </w:r>
      <w:r>
        <w:rPr>
          <w:rStyle w:val="20"/>
          <w:rFonts w:ascii="宋体" w:hAnsi="宋体" w:eastAsia="宋体" w:cs="宋体"/>
          <w:b w:val="0"/>
          <w:bCs w:val="0"/>
          <w:color w:val="000000" w:themeColor="text1"/>
          <w:kern w:val="0"/>
          <w:szCs w:val="22"/>
          <w14:textFill>
            <w14:solidFill>
              <w14:schemeClr w14:val="tx1"/>
            </w14:solidFill>
          </w14:textFill>
        </w:rPr>
        <w:t>） 对投资方案进行决策；</w:t>
      </w:r>
    </w:p>
    <w:p w14:paraId="2225A475">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w:t>
      </w:r>
      <w:r>
        <w:rPr>
          <w:rStyle w:val="20"/>
          <w:rFonts w:hint="eastAsia" w:ascii="宋体" w:hAnsi="宋体" w:eastAsia="宋体" w:cs="宋体"/>
          <w:b w:val="0"/>
          <w:bCs w:val="0"/>
          <w:color w:val="000000" w:themeColor="text1"/>
          <w:kern w:val="0"/>
          <w:szCs w:val="22"/>
          <w14:textFill>
            <w14:solidFill>
              <w14:schemeClr w14:val="tx1"/>
            </w14:solidFill>
          </w14:textFill>
        </w:rPr>
        <w:t>五</w:t>
      </w:r>
      <w:r>
        <w:rPr>
          <w:rStyle w:val="20"/>
          <w:rFonts w:ascii="宋体" w:hAnsi="宋体" w:eastAsia="宋体" w:cs="宋体"/>
          <w:b w:val="0"/>
          <w:bCs w:val="0"/>
          <w:color w:val="000000" w:themeColor="text1"/>
          <w:kern w:val="0"/>
          <w:szCs w:val="22"/>
          <w14:textFill>
            <w14:solidFill>
              <w14:schemeClr w14:val="tx1"/>
            </w14:solidFill>
          </w14:textFill>
        </w:rPr>
        <w:t>） 对投资项目定期进行检查。</w:t>
      </w:r>
    </w:p>
    <w:p w14:paraId="1922DC32">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第十三条</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 xml:space="preserve"> 基金会监事，应根据其职责对投资理财行为的全程进行监督。监事如发现违规行为应及时向基金会理事会提出纠正意见，对于重大问题应向基金会理事会报告</w:t>
      </w:r>
      <w:r>
        <w:rPr>
          <w:rStyle w:val="20"/>
          <w:rFonts w:hint="eastAsia" w:ascii="宋体" w:hAnsi="宋体" w:eastAsia="宋体" w:cs="宋体"/>
          <w:b w:val="0"/>
          <w:bCs w:val="0"/>
          <w:color w:val="000000" w:themeColor="text1"/>
          <w:kern w:val="0"/>
          <w:szCs w:val="22"/>
          <w14:textFill>
            <w14:solidFill>
              <w14:schemeClr w14:val="tx1"/>
            </w14:solidFill>
          </w14:textFill>
        </w:rPr>
        <w:t>。</w:t>
      </w:r>
    </w:p>
    <w:p w14:paraId="69662CC6">
      <w:pPr>
        <w:pStyle w:val="15"/>
        <w:shd w:val="clear" w:color="auto" w:fill="FFFFFF"/>
        <w:spacing w:before="156" w:beforeLines="50" w:beforeAutospacing="0" w:after="156" w:afterLines="50" w:afterAutospacing="0" w:line="480" w:lineRule="exact"/>
        <w:jc w:val="center"/>
        <w:rPr>
          <w:rStyle w:val="20"/>
          <w:color w:val="000000" w:themeColor="text1"/>
          <w:spacing w:val="8"/>
          <w:sz w:val="24"/>
          <w:szCs w:val="24"/>
          <w14:textFill>
            <w14:solidFill>
              <w14:schemeClr w14:val="tx1"/>
            </w14:solidFill>
          </w14:textFill>
        </w:rPr>
      </w:pPr>
      <w:bookmarkStart w:id="49" w:name="_Toc1463564192_WPSOffice_Level1"/>
      <w:bookmarkStart w:id="50" w:name="_Toc1249447885_WPSOffice_Level1"/>
      <w:r>
        <w:rPr>
          <w:rStyle w:val="20"/>
          <w:color w:val="000000" w:themeColor="text1"/>
          <w:spacing w:val="8"/>
          <w:sz w:val="24"/>
          <w:szCs w:val="24"/>
          <w14:textFill>
            <w14:solidFill>
              <w14:schemeClr w14:val="tx1"/>
            </w14:solidFill>
          </w14:textFill>
        </w:rPr>
        <w:t>第五章 投资负面清单</w:t>
      </w:r>
      <w:bookmarkEnd w:id="49"/>
      <w:bookmarkEnd w:id="50"/>
    </w:p>
    <w:p w14:paraId="0FD09421">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第十四条</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 xml:space="preserve"> 基金会不得开展下列投资行为：</w:t>
      </w:r>
    </w:p>
    <w:p w14:paraId="4FCF748E">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（一） 直接买卖股票；</w:t>
      </w:r>
    </w:p>
    <w:p w14:paraId="64B738C3">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（二） 直接购买商品及金融衍生品类产品；</w:t>
      </w:r>
    </w:p>
    <w:p w14:paraId="64096E20">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（三） 投资人身保险产品；</w:t>
      </w:r>
    </w:p>
    <w:p w14:paraId="58D2A0EF">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（四） 以投资名义向个人、企业提供借款；</w:t>
      </w:r>
    </w:p>
    <w:p w14:paraId="2374CC77">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（五） 不符合国家政策以及基金会宗旨和业务范围的投资；</w:t>
      </w:r>
    </w:p>
    <w:p w14:paraId="52D4AA53">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（六） 承担无限连带责任的投资；</w:t>
      </w:r>
    </w:p>
    <w:p w14:paraId="43971BBA">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（七） 非法集资等国家法律法规禁止的其他活动。</w:t>
      </w:r>
    </w:p>
    <w:p w14:paraId="170F85CA">
      <w:pPr>
        <w:pStyle w:val="15"/>
        <w:shd w:val="clear" w:color="auto" w:fill="FFFFFF"/>
        <w:spacing w:before="156" w:beforeLines="50" w:beforeAutospacing="0" w:after="156" w:afterLines="50" w:afterAutospacing="0" w:line="480" w:lineRule="exact"/>
        <w:jc w:val="center"/>
        <w:rPr>
          <w:rStyle w:val="20"/>
          <w:color w:val="000000" w:themeColor="text1"/>
          <w:spacing w:val="8"/>
          <w:sz w:val="24"/>
          <w:szCs w:val="24"/>
          <w14:textFill>
            <w14:solidFill>
              <w14:schemeClr w14:val="tx1"/>
            </w14:solidFill>
          </w14:textFill>
        </w:rPr>
      </w:pPr>
      <w:bookmarkStart w:id="51" w:name="_Toc1375502829_WPSOffice_Level1"/>
      <w:bookmarkStart w:id="52" w:name="_Toc845682206_WPSOffice_Level1"/>
      <w:r>
        <w:rPr>
          <w:rStyle w:val="20"/>
          <w:color w:val="000000" w:themeColor="text1"/>
          <w:spacing w:val="8"/>
          <w:sz w:val="24"/>
          <w:szCs w:val="24"/>
          <w14:textFill>
            <w14:solidFill>
              <w14:schemeClr w14:val="tx1"/>
            </w14:solidFill>
          </w14:textFill>
        </w:rPr>
        <w:t>第六章 重大投资标准</w:t>
      </w:r>
      <w:bookmarkEnd w:id="51"/>
      <w:bookmarkEnd w:id="52"/>
    </w:p>
    <w:p w14:paraId="498C5A58">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第十五条</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 xml:space="preserve"> 基金会的重大投资是指</w:t>
      </w:r>
      <w:r>
        <w:rPr>
          <w:rStyle w:val="20"/>
          <w:rFonts w:hint="eastAsia" w:ascii="宋体" w:hAnsi="宋体" w:eastAsia="宋体" w:cs="宋体"/>
          <w:b w:val="0"/>
          <w:bCs w:val="0"/>
          <w:color w:val="000000" w:themeColor="text1"/>
          <w:kern w:val="0"/>
          <w:szCs w:val="22"/>
          <w14:textFill>
            <w14:solidFill>
              <w14:schemeClr w14:val="tx1"/>
            </w14:solidFill>
          </w14:textFill>
        </w:rPr>
        <w:t>一次性超过5</w:t>
      </w:r>
      <w:r>
        <w:rPr>
          <w:rStyle w:val="20"/>
          <w:rFonts w:ascii="宋体" w:hAnsi="宋体" w:eastAsia="宋体" w:cs="宋体"/>
          <w:b w:val="0"/>
          <w:bCs w:val="0"/>
          <w:color w:val="000000" w:themeColor="text1"/>
          <w:kern w:val="0"/>
          <w:szCs w:val="22"/>
          <w14:textFill>
            <w14:solidFill>
              <w14:schemeClr w14:val="tx1"/>
            </w14:solidFill>
          </w14:textFill>
        </w:rPr>
        <w:t>0</w:t>
      </w:r>
      <w:r>
        <w:rPr>
          <w:rStyle w:val="20"/>
          <w:rFonts w:hint="eastAsia" w:ascii="宋体" w:hAnsi="宋体" w:eastAsia="宋体" w:cs="宋体"/>
          <w:b w:val="0"/>
          <w:bCs w:val="0"/>
          <w:color w:val="000000" w:themeColor="text1"/>
          <w:kern w:val="0"/>
          <w:szCs w:val="22"/>
          <w14:textFill>
            <w14:solidFill>
              <w14:schemeClr w14:val="tx1"/>
            </w14:solidFill>
          </w14:textFill>
        </w:rPr>
        <w:t>万元的投资。</w:t>
      </w:r>
    </w:p>
    <w:p w14:paraId="2872B225">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第十六条</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 xml:space="preserve"> 投资项目属于重大投资的，</w:t>
      </w:r>
      <w:r>
        <w:rPr>
          <w:rStyle w:val="20"/>
          <w:rFonts w:hint="eastAsia" w:ascii="宋体" w:hAnsi="宋体" w:eastAsia="宋体" w:cs="宋体"/>
          <w:b w:val="0"/>
          <w:bCs w:val="0"/>
          <w:color w:val="000000" w:themeColor="text1"/>
          <w:kern w:val="0"/>
          <w:szCs w:val="22"/>
          <w14:textFill>
            <w14:solidFill>
              <w14:schemeClr w14:val="tx1"/>
            </w14:solidFill>
          </w14:textFill>
        </w:rPr>
        <w:t>财务</w:t>
      </w:r>
      <w:r>
        <w:rPr>
          <w:rStyle w:val="20"/>
          <w:rFonts w:ascii="宋体" w:hAnsi="宋体" w:eastAsia="宋体" w:cs="宋体"/>
          <w:b w:val="0"/>
          <w:bCs w:val="0"/>
          <w:color w:val="000000" w:themeColor="text1"/>
          <w:kern w:val="0"/>
          <w:szCs w:val="22"/>
          <w14:textFill>
            <w14:solidFill>
              <w14:schemeClr w14:val="tx1"/>
            </w14:solidFill>
          </w14:textFill>
        </w:rPr>
        <w:t>人员应配合秘书长对投资方案进行风险评估（利益相关方应回避），并向理事会提出初步意见，经理事会</w:t>
      </w:r>
      <w:r>
        <w:rPr>
          <w:rStyle w:val="20"/>
          <w:rFonts w:hint="eastAsia" w:ascii="宋体" w:hAnsi="宋体" w:eastAsia="宋体" w:cs="宋体"/>
          <w:b w:val="0"/>
          <w:bCs w:val="0"/>
          <w:color w:val="000000" w:themeColor="text1"/>
          <w:kern w:val="0"/>
          <w:szCs w:val="22"/>
          <w14:textFill>
            <w14:solidFill>
              <w14:schemeClr w14:val="tx1"/>
            </w14:solidFill>
          </w14:textFill>
        </w:rPr>
        <w:t>全体理事</w:t>
      </w:r>
      <w:r>
        <w:rPr>
          <w:rStyle w:val="20"/>
          <w:rFonts w:ascii="宋体" w:hAnsi="宋体" w:eastAsia="宋体" w:cs="宋体"/>
          <w:b w:val="0"/>
          <w:bCs w:val="0"/>
          <w:color w:val="000000" w:themeColor="text1"/>
          <w:kern w:val="0"/>
          <w:szCs w:val="22"/>
          <w14:textFill>
            <w14:solidFill>
              <w14:schemeClr w14:val="tx1"/>
            </w14:solidFill>
          </w14:textFill>
        </w:rPr>
        <w:t>的三分之二以上表决同意方可执行。理事会决议同意投资的，</w:t>
      </w:r>
      <w:r>
        <w:rPr>
          <w:rStyle w:val="20"/>
          <w:rFonts w:hint="eastAsia" w:ascii="宋体" w:hAnsi="宋体" w:eastAsia="宋体" w:cs="宋体"/>
          <w:b w:val="0"/>
          <w:bCs w:val="0"/>
          <w:color w:val="000000" w:themeColor="text1"/>
          <w:kern w:val="0"/>
          <w:szCs w:val="22"/>
          <w14:textFill>
            <w14:solidFill>
              <w14:schemeClr w14:val="tx1"/>
            </w14:solidFill>
          </w14:textFill>
        </w:rPr>
        <w:t>理事长</w:t>
      </w:r>
      <w:r>
        <w:rPr>
          <w:rStyle w:val="20"/>
          <w:rFonts w:ascii="宋体" w:hAnsi="宋体" w:eastAsia="宋体" w:cs="宋体"/>
          <w:b w:val="0"/>
          <w:bCs w:val="0"/>
          <w:color w:val="000000" w:themeColor="text1"/>
          <w:kern w:val="0"/>
          <w:szCs w:val="22"/>
          <w14:textFill>
            <w14:solidFill>
              <w14:schemeClr w14:val="tx1"/>
            </w14:solidFill>
          </w14:textFill>
        </w:rPr>
        <w:t>签署相关投资协议实施。</w:t>
      </w:r>
    </w:p>
    <w:p w14:paraId="5328F68E">
      <w:pPr>
        <w:pStyle w:val="15"/>
        <w:shd w:val="clear" w:color="auto" w:fill="FFFFFF"/>
        <w:spacing w:before="156" w:beforeLines="50" w:beforeAutospacing="0" w:after="156" w:afterLines="50" w:afterAutospacing="0" w:line="480" w:lineRule="exact"/>
        <w:jc w:val="center"/>
        <w:rPr>
          <w:rStyle w:val="20"/>
          <w:color w:val="000000" w:themeColor="text1"/>
          <w:spacing w:val="8"/>
          <w:sz w:val="24"/>
          <w:szCs w:val="24"/>
          <w14:textFill>
            <w14:solidFill>
              <w14:schemeClr w14:val="tx1"/>
            </w14:solidFill>
          </w14:textFill>
        </w:rPr>
      </w:pPr>
      <w:bookmarkStart w:id="53" w:name="_Toc1334060396_WPSOffice_Level1"/>
      <w:bookmarkStart w:id="54" w:name="_Toc414587048_WPSOffice_Level1"/>
      <w:r>
        <w:rPr>
          <w:rStyle w:val="20"/>
          <w:color w:val="000000" w:themeColor="text1"/>
          <w:spacing w:val="8"/>
          <w:sz w:val="24"/>
          <w:szCs w:val="24"/>
          <w14:textFill>
            <w14:solidFill>
              <w14:schemeClr w14:val="tx1"/>
            </w14:solidFill>
          </w14:textFill>
        </w:rPr>
        <w:t>第七章 投资风险控制及止损机制</w:t>
      </w:r>
      <w:bookmarkEnd w:id="53"/>
      <w:bookmarkEnd w:id="54"/>
    </w:p>
    <w:p w14:paraId="65877981">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 xml:space="preserve">第十七条  </w:t>
      </w:r>
      <w:r>
        <w:rPr>
          <w:rStyle w:val="20"/>
          <w:rFonts w:hint="eastAsia" w:ascii="宋体" w:hAnsi="宋体" w:eastAsia="宋体" w:cs="宋体"/>
          <w:b w:val="0"/>
          <w:bCs w:val="0"/>
          <w:color w:val="000000" w:themeColor="text1"/>
          <w:kern w:val="0"/>
          <w:szCs w:val="22"/>
          <w14:textFill>
            <w14:solidFill>
              <w14:schemeClr w14:val="tx1"/>
            </w14:solidFill>
          </w14:textFill>
        </w:rPr>
        <w:t>理事会</w:t>
      </w:r>
      <w:r>
        <w:rPr>
          <w:rStyle w:val="20"/>
          <w:rFonts w:ascii="宋体" w:hAnsi="宋体" w:eastAsia="宋体" w:cs="宋体"/>
          <w:b w:val="0"/>
          <w:bCs w:val="0"/>
          <w:color w:val="000000" w:themeColor="text1"/>
          <w:kern w:val="0"/>
          <w:szCs w:val="22"/>
          <w14:textFill>
            <w14:solidFill>
              <w14:schemeClr w14:val="tx1"/>
            </w14:solidFill>
          </w14:textFill>
        </w:rPr>
        <w:t>应指派专人跟踪投资的进展及安全状况，出现异常情况时应及时报告理事会和监事，以便理事会尽快做出决定，避免或减少损失。</w:t>
      </w:r>
    </w:p>
    <w:p w14:paraId="194D347D">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w:t>
      </w:r>
      <w:r>
        <w:rPr>
          <w:rStyle w:val="20"/>
          <w:rFonts w:hint="eastAsia" w:ascii="宋体" w:hAnsi="宋体" w:eastAsia="宋体" w:cs="宋体"/>
          <w:b w:val="0"/>
          <w:bCs w:val="0"/>
          <w:color w:val="000000" w:themeColor="text1"/>
          <w:kern w:val="0"/>
          <w:szCs w:val="22"/>
          <w14:textFill>
            <w14:solidFill>
              <w14:schemeClr w14:val="tx1"/>
            </w14:solidFill>
          </w14:textFill>
        </w:rPr>
        <w:t>十</w:t>
      </w:r>
      <w:r>
        <w:rPr>
          <w:rStyle w:val="20"/>
          <w:rFonts w:ascii="宋体" w:hAnsi="宋体" w:eastAsia="宋体" w:cs="宋体"/>
          <w:b w:val="0"/>
          <w:bCs w:val="0"/>
          <w:color w:val="000000" w:themeColor="text1"/>
          <w:kern w:val="0"/>
          <w:szCs w:val="22"/>
          <w14:textFill>
            <w14:solidFill>
              <w14:schemeClr w14:val="tx1"/>
            </w14:solidFill>
          </w14:textFill>
        </w:rPr>
        <w:t>八条  基金会建立投资止损机制</w:t>
      </w:r>
      <w:r>
        <w:rPr>
          <w:rStyle w:val="20"/>
          <w:rFonts w:hint="eastAsia" w:ascii="宋体" w:hAnsi="宋体" w:eastAsia="宋体" w:cs="宋体"/>
          <w:b w:val="0"/>
          <w:bCs w:val="0"/>
          <w:color w:val="000000" w:themeColor="text1"/>
          <w:kern w:val="0"/>
          <w:szCs w:val="22"/>
          <w14:textFill>
            <w14:solidFill>
              <w14:schemeClr w14:val="tx1"/>
            </w14:solidFill>
          </w14:textFill>
        </w:rPr>
        <w:t>，</w:t>
      </w:r>
      <w:r>
        <w:rPr>
          <w:rStyle w:val="20"/>
          <w:rFonts w:ascii="宋体" w:hAnsi="宋体" w:eastAsia="宋体" w:cs="宋体"/>
          <w:b w:val="0"/>
          <w:bCs w:val="0"/>
          <w:color w:val="000000" w:themeColor="text1"/>
          <w:kern w:val="0"/>
          <w:szCs w:val="22"/>
          <w14:textFill>
            <w14:solidFill>
              <w14:schemeClr w14:val="tx1"/>
            </w14:solidFill>
          </w14:textFill>
        </w:rPr>
        <w:t>基金会单项投资行为发生亏损达到投入额10%的，</w:t>
      </w:r>
      <w:r>
        <w:rPr>
          <w:rStyle w:val="20"/>
          <w:rFonts w:hint="eastAsia" w:ascii="宋体" w:hAnsi="宋体" w:eastAsia="宋体" w:cs="宋体"/>
          <w:b w:val="0"/>
          <w:bCs w:val="0"/>
          <w:color w:val="000000" w:themeColor="text1"/>
          <w:kern w:val="0"/>
          <w:szCs w:val="22"/>
          <w14:textFill>
            <w14:solidFill>
              <w14:schemeClr w14:val="tx1"/>
            </w14:solidFill>
          </w14:textFill>
        </w:rPr>
        <w:t>理事会</w:t>
      </w:r>
      <w:r>
        <w:rPr>
          <w:rStyle w:val="20"/>
          <w:rFonts w:ascii="宋体" w:hAnsi="宋体" w:eastAsia="宋体" w:cs="宋体"/>
          <w:b w:val="0"/>
          <w:bCs w:val="0"/>
          <w:color w:val="000000" w:themeColor="text1"/>
          <w:kern w:val="0"/>
          <w:szCs w:val="22"/>
          <w14:textFill>
            <w14:solidFill>
              <w14:schemeClr w14:val="tx1"/>
            </w14:solidFill>
          </w14:textFill>
        </w:rPr>
        <w:t>应当及时</w:t>
      </w:r>
      <w:r>
        <w:rPr>
          <w:rStyle w:val="20"/>
          <w:rFonts w:hint="eastAsia" w:ascii="宋体" w:hAnsi="宋体" w:eastAsia="宋体" w:cs="宋体"/>
          <w:b w:val="0"/>
          <w:bCs w:val="0"/>
          <w:color w:val="000000" w:themeColor="text1"/>
          <w:kern w:val="0"/>
          <w:szCs w:val="22"/>
          <w14:textFill>
            <w14:solidFill>
              <w14:schemeClr w14:val="tx1"/>
            </w14:solidFill>
          </w14:textFill>
        </w:rPr>
        <w:t>采取</w:t>
      </w:r>
      <w:r>
        <w:rPr>
          <w:rStyle w:val="20"/>
          <w:rFonts w:ascii="宋体" w:hAnsi="宋体" w:eastAsia="宋体" w:cs="宋体"/>
          <w:b w:val="0"/>
          <w:bCs w:val="0"/>
          <w:color w:val="000000" w:themeColor="text1"/>
          <w:kern w:val="0"/>
          <w:szCs w:val="22"/>
          <w14:textFill>
            <w14:solidFill>
              <w14:schemeClr w14:val="tx1"/>
            </w14:solidFill>
          </w14:textFill>
        </w:rPr>
        <w:t>收回、变现等方式进行止损，。</w:t>
      </w:r>
    </w:p>
    <w:p w14:paraId="41E36518">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w:t>
      </w:r>
      <w:r>
        <w:rPr>
          <w:rStyle w:val="20"/>
          <w:rFonts w:hint="eastAsia" w:ascii="宋体" w:hAnsi="宋体" w:eastAsia="宋体" w:cs="宋体"/>
          <w:b w:val="0"/>
          <w:bCs w:val="0"/>
          <w:color w:val="000000" w:themeColor="text1"/>
          <w:kern w:val="0"/>
          <w:szCs w:val="22"/>
          <w14:textFill>
            <w14:solidFill>
              <w14:schemeClr w14:val="tx1"/>
            </w14:solidFill>
          </w14:textFill>
        </w:rPr>
        <w:t>十</w:t>
      </w:r>
      <w:r>
        <w:rPr>
          <w:rStyle w:val="20"/>
          <w:rFonts w:ascii="宋体" w:hAnsi="宋体" w:eastAsia="宋体" w:cs="宋体"/>
          <w:b w:val="0"/>
          <w:bCs w:val="0"/>
          <w:color w:val="000000" w:themeColor="text1"/>
          <w:kern w:val="0"/>
          <w:szCs w:val="22"/>
          <w14:textFill>
            <w14:solidFill>
              <w14:schemeClr w14:val="tx1"/>
            </w14:solidFill>
          </w14:textFill>
        </w:rPr>
        <w:t>九条  投资行为出现以下行为之一的，投资活动终止：</w:t>
      </w:r>
    </w:p>
    <w:p w14:paraId="4BAA20B6">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（一） 投资项目期限届满的；</w:t>
      </w:r>
    </w:p>
    <w:p w14:paraId="58B5BB89">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（二） 投资项目亏损达到本金10%的；</w:t>
      </w:r>
    </w:p>
    <w:p w14:paraId="4EE8534E">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（三）</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投资项目可能会影响基金会宗旨和声誉的；</w:t>
      </w:r>
    </w:p>
    <w:p w14:paraId="41D0BDB0">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（四）</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委托第三方投资公司主体资格灭失或者被司法机关追究刑事责任的；</w:t>
      </w:r>
    </w:p>
    <w:p w14:paraId="0009E76D">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（五） 理事会认为应当终止的；</w:t>
      </w:r>
    </w:p>
    <w:p w14:paraId="16FFF5F3">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（六） 其他应当终止的情形发生的。</w:t>
      </w:r>
    </w:p>
    <w:p w14:paraId="748B2B57">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第二十条  基金会建立风险准备金制度。基金会从上一年</w:t>
      </w:r>
      <w:r>
        <w:rPr>
          <w:rStyle w:val="20"/>
          <w:rFonts w:hint="eastAsia" w:ascii="宋体" w:hAnsi="宋体" w:eastAsia="宋体" w:cs="宋体"/>
          <w:b w:val="0"/>
          <w:bCs w:val="0"/>
          <w:color w:val="000000" w:themeColor="text1"/>
          <w:kern w:val="0"/>
          <w:szCs w:val="22"/>
          <w14:textFill>
            <w14:solidFill>
              <w14:schemeClr w14:val="tx1"/>
            </w14:solidFill>
          </w14:textFill>
        </w:rPr>
        <w:t>投资收益</w:t>
      </w:r>
      <w:r>
        <w:rPr>
          <w:rStyle w:val="20"/>
          <w:rFonts w:ascii="宋体" w:hAnsi="宋体" w:eastAsia="宋体" w:cs="宋体"/>
          <w:b w:val="0"/>
          <w:bCs w:val="0"/>
          <w:color w:val="000000" w:themeColor="text1"/>
          <w:kern w:val="0"/>
          <w:szCs w:val="22"/>
          <w14:textFill>
            <w14:solidFill>
              <w14:schemeClr w14:val="tx1"/>
            </w14:solidFill>
          </w14:textFill>
        </w:rPr>
        <w:t>中提取不超过5% 的资金作为基金会的风险准备金。当风险准备金余额到达注册资本时，经理事会批准后不再提取。</w:t>
      </w:r>
    </w:p>
    <w:p w14:paraId="1A0A9BB7">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风险准备金独立核算，专户存储，除弥补投资亏损外，不得挪作他用。</w:t>
      </w:r>
    </w:p>
    <w:p w14:paraId="24048D87">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风险准备金的使用需要经过理事会批准。</w:t>
      </w:r>
    </w:p>
    <w:p w14:paraId="5DB649E9">
      <w:pPr>
        <w:pStyle w:val="15"/>
        <w:shd w:val="clear" w:color="auto" w:fill="FFFFFF"/>
        <w:spacing w:before="156" w:beforeLines="50" w:beforeAutospacing="0" w:after="156" w:afterLines="50" w:afterAutospacing="0" w:line="480" w:lineRule="exact"/>
        <w:jc w:val="center"/>
        <w:rPr>
          <w:rStyle w:val="20"/>
          <w:color w:val="000000" w:themeColor="text1"/>
          <w:spacing w:val="8"/>
          <w:sz w:val="24"/>
          <w:szCs w:val="24"/>
          <w14:textFill>
            <w14:solidFill>
              <w14:schemeClr w14:val="tx1"/>
            </w14:solidFill>
          </w14:textFill>
        </w:rPr>
      </w:pPr>
      <w:bookmarkStart w:id="55" w:name="_Toc1527564868_WPSOffice_Level1"/>
      <w:bookmarkStart w:id="56" w:name="_Toc1823800892_WPSOffice_Level1"/>
      <w:r>
        <w:rPr>
          <w:rStyle w:val="20"/>
          <w:color w:val="000000" w:themeColor="text1"/>
          <w:spacing w:val="8"/>
          <w:sz w:val="24"/>
          <w:szCs w:val="24"/>
          <w14:textFill>
            <w14:solidFill>
              <w14:schemeClr w14:val="tx1"/>
            </w14:solidFill>
          </w14:textFill>
        </w:rPr>
        <w:t>第八章 违规投资责任追究</w:t>
      </w:r>
      <w:bookmarkEnd w:id="55"/>
      <w:bookmarkEnd w:id="56"/>
    </w:p>
    <w:p w14:paraId="353E4FA1">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第二十一条  基金会投资行为实体和程序上都合法合规的，基金会理事尽到了忠实、勤勉、谨慎义务，由于市场不可预见原因导致投资亏损的，并且尽到了止损义务的，相关人员无需承担赔偿责任。</w:t>
      </w:r>
    </w:p>
    <w:p w14:paraId="3281A11D">
      <w:pPr>
        <w:spacing w:before="156" w:beforeLines="50" w:after="156" w:afterLines="50" w:line="480" w:lineRule="exact"/>
        <w:ind w:firstLine="480" w:firstLineChars="200"/>
        <w:rPr>
          <w:rFonts w:ascii="宋体" w:hAnsi="宋体" w:eastAsia="宋体" w:cs="宋体"/>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w:t>
      </w:r>
      <w:r>
        <w:rPr>
          <w:rStyle w:val="20"/>
          <w:rFonts w:hint="eastAsia" w:ascii="宋体" w:hAnsi="宋体" w:eastAsia="宋体" w:cs="宋体"/>
          <w:b w:val="0"/>
          <w:bCs w:val="0"/>
          <w:color w:val="000000" w:themeColor="text1"/>
          <w:kern w:val="0"/>
          <w:szCs w:val="22"/>
          <w14:textFill>
            <w14:solidFill>
              <w14:schemeClr w14:val="tx1"/>
            </w14:solidFill>
          </w14:textFill>
        </w:rPr>
        <w:t>二十</w:t>
      </w:r>
      <w:r>
        <w:rPr>
          <w:rStyle w:val="20"/>
          <w:rFonts w:ascii="宋体" w:hAnsi="宋体" w:eastAsia="宋体" w:cs="宋体"/>
          <w:b w:val="0"/>
          <w:bCs w:val="0"/>
          <w:color w:val="000000" w:themeColor="text1"/>
          <w:kern w:val="0"/>
          <w:szCs w:val="22"/>
          <w14:textFill>
            <w14:solidFill>
              <w14:schemeClr w14:val="tx1"/>
            </w14:solidFill>
          </w14:textFill>
        </w:rPr>
        <w:t>二</w:t>
      </w:r>
      <w:r>
        <w:rPr>
          <w:rStyle w:val="20"/>
          <w:rFonts w:hint="eastAsia" w:ascii="宋体" w:hAnsi="宋体" w:eastAsia="宋体" w:cs="宋体"/>
          <w:b w:val="0"/>
          <w:bCs w:val="0"/>
          <w:color w:val="000000" w:themeColor="text1"/>
          <w:kern w:val="0"/>
          <w:szCs w:val="22"/>
          <w14:textFill>
            <w14:solidFill>
              <w14:schemeClr w14:val="tx1"/>
            </w14:solidFill>
          </w14:textFill>
        </w:rPr>
        <w:t>条</w:t>
      </w:r>
      <w:r>
        <w:rPr>
          <w:rStyle w:val="20"/>
          <w:rFonts w:ascii="宋体" w:hAnsi="宋体" w:eastAsia="宋体" w:cs="宋体"/>
          <w:b w:val="0"/>
          <w:bCs w:val="0"/>
          <w:color w:val="000000" w:themeColor="text1"/>
          <w:kern w:val="0"/>
          <w:szCs w:val="22"/>
          <w14:textFill>
            <w14:solidFill>
              <w14:schemeClr w14:val="tx1"/>
            </w14:solidFill>
          </w14:textFill>
        </w:rPr>
        <w:t xml:space="preserve">  违法违规决策致使基金会财产损失的，相关人员应当承担相应赔偿责任。</w:t>
      </w:r>
    </w:p>
    <w:p w14:paraId="320EB645">
      <w:pPr>
        <w:pStyle w:val="15"/>
        <w:shd w:val="clear" w:color="auto" w:fill="FFFFFF"/>
        <w:spacing w:before="156" w:beforeLines="50" w:beforeAutospacing="0" w:after="156" w:afterLines="50" w:afterAutospacing="0" w:line="480" w:lineRule="exact"/>
        <w:jc w:val="center"/>
        <w:rPr>
          <w:rStyle w:val="20"/>
          <w:color w:val="000000" w:themeColor="text1"/>
          <w:sz w:val="24"/>
          <w:szCs w:val="24"/>
          <w14:textFill>
            <w14:solidFill>
              <w14:schemeClr w14:val="tx1"/>
            </w14:solidFill>
          </w14:textFill>
        </w:rPr>
      </w:pPr>
      <w:bookmarkStart w:id="57" w:name="_Toc615736591_WPSOffice_Level1"/>
      <w:bookmarkStart w:id="58" w:name="_Toc1587498213_WPSOffice_Level1"/>
      <w:r>
        <w:rPr>
          <w:rStyle w:val="20"/>
          <w:color w:val="000000" w:themeColor="text1"/>
          <w:sz w:val="24"/>
          <w:szCs w:val="24"/>
          <w14:textFill>
            <w14:solidFill>
              <w14:schemeClr w14:val="tx1"/>
            </w14:solidFill>
          </w14:textFill>
        </w:rPr>
        <w:t>第九章 附则</w:t>
      </w:r>
      <w:bookmarkEnd w:id="57"/>
      <w:bookmarkEnd w:id="58"/>
    </w:p>
    <w:p w14:paraId="79733BA5">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第二十三条  本</w:t>
      </w:r>
      <w:r>
        <w:rPr>
          <w:rStyle w:val="20"/>
          <w:rFonts w:hint="eastAsia" w:ascii="宋体" w:hAnsi="宋体" w:eastAsia="宋体" w:cs="宋体"/>
          <w:b w:val="0"/>
          <w:bCs w:val="0"/>
          <w:color w:val="000000" w:themeColor="text1"/>
          <w:kern w:val="0"/>
          <w:szCs w:val="22"/>
          <w14:textFill>
            <w14:solidFill>
              <w14:schemeClr w14:val="tx1"/>
            </w14:solidFill>
          </w14:textFill>
        </w:rPr>
        <w:t>办法</w:t>
      </w:r>
      <w:r>
        <w:rPr>
          <w:rStyle w:val="20"/>
          <w:rFonts w:ascii="宋体" w:hAnsi="宋体" w:eastAsia="宋体" w:cs="宋体"/>
          <w:b w:val="0"/>
          <w:bCs w:val="0"/>
          <w:color w:val="000000" w:themeColor="text1"/>
          <w:kern w:val="0"/>
          <w:szCs w:val="22"/>
          <w14:textFill>
            <w14:solidFill>
              <w14:schemeClr w14:val="tx1"/>
            </w14:solidFill>
          </w14:textFill>
        </w:rPr>
        <w:t>未尽事宜或与有关规定不一致的，按有关规定执行。</w:t>
      </w:r>
    </w:p>
    <w:p w14:paraId="54C42D30">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hint="eastAsia" w:ascii="宋体" w:hAnsi="宋体" w:eastAsia="宋体" w:cs="宋体"/>
          <w:b w:val="0"/>
          <w:bCs w:val="0"/>
          <w:color w:val="000000" w:themeColor="text1"/>
          <w:kern w:val="0"/>
          <w:szCs w:val="22"/>
          <w14:textFill>
            <w14:solidFill>
              <w14:schemeClr w14:val="tx1"/>
            </w14:solidFill>
          </w14:textFill>
        </w:rPr>
        <w:t>第二十</w:t>
      </w:r>
      <w:r>
        <w:rPr>
          <w:rStyle w:val="20"/>
          <w:rFonts w:ascii="宋体" w:hAnsi="宋体" w:eastAsia="宋体" w:cs="宋体"/>
          <w:b w:val="0"/>
          <w:bCs w:val="0"/>
          <w:color w:val="000000" w:themeColor="text1"/>
          <w:kern w:val="0"/>
          <w:szCs w:val="22"/>
          <w14:textFill>
            <w14:solidFill>
              <w14:schemeClr w14:val="tx1"/>
            </w14:solidFill>
          </w14:textFill>
        </w:rPr>
        <w:t>四</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条 </w:t>
      </w:r>
      <w:r>
        <w:rPr>
          <w:rStyle w:val="20"/>
          <w:rFonts w:ascii="宋体" w:hAnsi="宋体" w:eastAsia="宋体" w:cs="宋体"/>
          <w:b w:val="0"/>
          <w:bCs w:val="0"/>
          <w:color w:val="000000" w:themeColor="text1"/>
          <w:kern w:val="0"/>
          <w:szCs w:val="22"/>
          <w14:textFill>
            <w14:solidFill>
              <w14:schemeClr w14:val="tx1"/>
            </w14:solidFill>
          </w14:textFill>
        </w:rPr>
        <w:t xml:space="preserve"> </w:t>
      </w:r>
      <w:r>
        <w:rPr>
          <w:rStyle w:val="20"/>
          <w:rFonts w:hint="eastAsia" w:ascii="宋体" w:hAnsi="宋体" w:eastAsia="宋体" w:cs="宋体"/>
          <w:b w:val="0"/>
          <w:bCs w:val="0"/>
          <w:color w:val="000000" w:themeColor="text1"/>
          <w:kern w:val="0"/>
          <w:szCs w:val="22"/>
          <w14:textFill>
            <w14:solidFill>
              <w14:schemeClr w14:val="tx1"/>
            </w14:solidFill>
          </w14:textFill>
        </w:rPr>
        <w:t>本办法由</w:t>
      </w:r>
      <w:r>
        <w:rPr>
          <w:rStyle w:val="20"/>
          <w:rFonts w:ascii="宋体" w:hAnsi="宋体" w:eastAsia="宋体" w:cs="宋体"/>
          <w:b w:val="0"/>
          <w:bCs w:val="0"/>
          <w:color w:val="000000" w:themeColor="text1"/>
          <w:kern w:val="0"/>
          <w:szCs w:val="22"/>
          <w14:textFill>
            <w14:solidFill>
              <w14:schemeClr w14:val="tx1"/>
            </w14:solidFill>
          </w14:textFill>
        </w:rPr>
        <w:t>理事会</w:t>
      </w:r>
      <w:r>
        <w:rPr>
          <w:rStyle w:val="20"/>
          <w:rFonts w:hint="eastAsia" w:ascii="宋体" w:hAnsi="宋体" w:eastAsia="宋体" w:cs="宋体"/>
          <w:b w:val="0"/>
          <w:bCs w:val="0"/>
          <w:color w:val="000000" w:themeColor="text1"/>
          <w:kern w:val="0"/>
          <w:szCs w:val="22"/>
          <w14:textFill>
            <w14:solidFill>
              <w14:schemeClr w14:val="tx1"/>
            </w14:solidFill>
          </w14:textFill>
        </w:rPr>
        <w:t>负责</w:t>
      </w:r>
      <w:r>
        <w:rPr>
          <w:rStyle w:val="20"/>
          <w:rFonts w:ascii="宋体" w:hAnsi="宋体" w:eastAsia="宋体" w:cs="宋体"/>
          <w:b w:val="0"/>
          <w:bCs w:val="0"/>
          <w:color w:val="000000" w:themeColor="text1"/>
          <w:kern w:val="0"/>
          <w:szCs w:val="22"/>
          <w14:textFill>
            <w14:solidFill>
              <w14:schemeClr w14:val="tx1"/>
            </w14:solidFill>
          </w14:textFill>
        </w:rPr>
        <w:t>解释。</w:t>
      </w:r>
    </w:p>
    <w:p w14:paraId="05067B35">
      <w:pPr>
        <w:spacing w:before="156" w:beforeLines="50" w:after="156" w:afterLines="50" w:line="480" w:lineRule="exact"/>
        <w:ind w:firstLine="480" w:firstLineChars="200"/>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第二十五条</w:t>
      </w:r>
      <w:r>
        <w:rPr>
          <w:rStyle w:val="20"/>
          <w:rFonts w:hint="eastAsia" w:ascii="宋体" w:hAnsi="宋体" w:eastAsia="宋体" w:cs="宋体"/>
          <w:b w:val="0"/>
          <w:bCs w:val="0"/>
          <w:color w:val="000000" w:themeColor="text1"/>
          <w:kern w:val="0"/>
          <w:szCs w:val="22"/>
          <w14:textFill>
            <w14:solidFill>
              <w14:schemeClr w14:val="tx1"/>
            </w14:solidFill>
          </w14:textFill>
        </w:rPr>
        <w:t xml:space="preserve"> </w:t>
      </w:r>
      <w:r>
        <w:rPr>
          <w:rStyle w:val="20"/>
          <w:rFonts w:ascii="宋体" w:hAnsi="宋体" w:eastAsia="宋体" w:cs="宋体"/>
          <w:b w:val="0"/>
          <w:bCs w:val="0"/>
          <w:color w:val="000000" w:themeColor="text1"/>
          <w:kern w:val="0"/>
          <w:szCs w:val="22"/>
          <w14:textFill>
            <w14:solidFill>
              <w14:schemeClr w14:val="tx1"/>
            </w14:solidFill>
          </w14:textFill>
        </w:rPr>
        <w:t xml:space="preserve"> 本办法于基金会理事会表决通过</w:t>
      </w:r>
      <w:r>
        <w:rPr>
          <w:rStyle w:val="20"/>
          <w:rFonts w:hint="eastAsia" w:ascii="宋体" w:hAnsi="宋体" w:eastAsia="宋体" w:cs="宋体"/>
          <w:b w:val="0"/>
          <w:bCs w:val="0"/>
          <w:color w:val="000000" w:themeColor="text1"/>
          <w:kern w:val="0"/>
          <w:szCs w:val="22"/>
          <w14:textFill>
            <w14:solidFill>
              <w14:schemeClr w14:val="tx1"/>
            </w14:solidFill>
          </w14:textFill>
        </w:rPr>
        <w:t>后执行</w:t>
      </w:r>
      <w:r>
        <w:rPr>
          <w:rStyle w:val="20"/>
          <w:rFonts w:ascii="宋体" w:hAnsi="宋体" w:eastAsia="宋体" w:cs="宋体"/>
          <w:b w:val="0"/>
          <w:bCs w:val="0"/>
          <w:color w:val="000000" w:themeColor="text1"/>
          <w:kern w:val="0"/>
          <w:szCs w:val="22"/>
          <w14:textFill>
            <w14:solidFill>
              <w14:schemeClr w14:val="tx1"/>
            </w14:solidFill>
          </w14:textFill>
        </w:rPr>
        <w:t>。</w:t>
      </w:r>
    </w:p>
    <w:p w14:paraId="64B161E4">
      <w:pPr>
        <w:spacing w:before="156" w:beforeLines="50" w:after="156" w:afterLines="50" w:line="480" w:lineRule="exact"/>
        <w:ind w:firstLine="480" w:firstLineChars="200"/>
        <w:jc w:val="left"/>
        <w:rPr>
          <w:rStyle w:val="20"/>
          <w:rFonts w:ascii="宋体" w:hAnsi="宋体" w:eastAsia="宋体" w:cs="宋体"/>
          <w:b w:val="0"/>
          <w:bCs w:val="0"/>
          <w:color w:val="000000" w:themeColor="text1"/>
          <w:kern w:val="0"/>
          <w:szCs w:val="22"/>
          <w14:textFill>
            <w14:solidFill>
              <w14:schemeClr w14:val="tx1"/>
            </w14:solidFill>
          </w14:textFill>
        </w:rPr>
      </w:pPr>
      <w:r>
        <w:rPr>
          <w:rStyle w:val="20"/>
          <w:rFonts w:ascii="宋体" w:hAnsi="宋体" w:eastAsia="宋体" w:cs="宋体"/>
          <w:b w:val="0"/>
          <w:bCs w:val="0"/>
          <w:color w:val="000000" w:themeColor="text1"/>
          <w:kern w:val="0"/>
          <w:szCs w:val="22"/>
          <w14:textFill>
            <w14:solidFill>
              <w14:schemeClr w14:val="tx1"/>
            </w14:solidFill>
          </w14:textFill>
        </w:rPr>
        <w:t> </w:t>
      </w:r>
    </w:p>
    <w:p w14:paraId="0405462B">
      <w:r>
        <w:br w:type="page"/>
      </w:r>
    </w:p>
    <w:p w14:paraId="59618708">
      <w:pPr>
        <w:pStyle w:val="2"/>
      </w:pPr>
      <w:bookmarkStart w:id="59" w:name="_Toc1921157764"/>
      <w:bookmarkStart w:id="60" w:name="_Toc2108673691_WPSOffice_Level1"/>
      <w:bookmarkStart w:id="61" w:name="_Toc210245751"/>
      <w:r>
        <w:t>北京中致儿童关爱</w:t>
      </w:r>
      <w:r>
        <w:rPr>
          <w:rFonts w:hint="eastAsia"/>
        </w:rPr>
        <w:t>基金会</w:t>
      </w:r>
      <w:bookmarkEnd w:id="59"/>
      <w:bookmarkEnd w:id="60"/>
      <w:bookmarkEnd w:id="61"/>
    </w:p>
    <w:p w14:paraId="0D862C94">
      <w:pPr>
        <w:pStyle w:val="2"/>
        <w:rPr>
          <w:rFonts w:ascii="宋体" w:hAnsi="宋体" w:eastAsia="宋体"/>
          <w:bCs/>
          <w:szCs w:val="32"/>
        </w:rPr>
      </w:pPr>
      <w:bookmarkStart w:id="62" w:name="_Toc1329827096_WPSOffice_Level1"/>
      <w:bookmarkStart w:id="63" w:name="_Toc556098196_WPSOffice_Level1"/>
      <w:bookmarkStart w:id="64" w:name="_Toc1481906903"/>
      <w:bookmarkStart w:id="65" w:name="_Toc989737742"/>
      <w:r>
        <w:rPr>
          <w:rFonts w:hint="eastAsia"/>
        </w:rPr>
        <w:t>慈善信托管理制度</w:t>
      </w:r>
      <w:bookmarkEnd w:id="62"/>
      <w:bookmarkEnd w:id="63"/>
      <w:r>
        <w:br w:type="textWrapping"/>
      </w:r>
      <w:bookmarkEnd w:id="64"/>
      <w:bookmarkEnd w:id="65"/>
    </w:p>
    <w:p w14:paraId="6F68E81A">
      <w:pPr>
        <w:spacing w:before="156" w:beforeLines="50" w:after="156" w:afterLines="50" w:line="480" w:lineRule="exact"/>
        <w:jc w:val="center"/>
        <w:rPr>
          <w:rFonts w:ascii="宋体" w:hAnsi="宋体" w:eastAsia="宋体"/>
          <w:b/>
          <w:bCs/>
        </w:rPr>
      </w:pPr>
      <w:bookmarkStart w:id="66" w:name="_Toc1541688143_WPSOffice_Level1"/>
      <w:bookmarkStart w:id="67" w:name="_Toc493548428_WPSOffice_Level1"/>
      <w:r>
        <w:rPr>
          <w:rFonts w:hint="eastAsia" w:ascii="宋体" w:hAnsi="宋体" w:eastAsia="宋体"/>
          <w:b/>
          <w:bCs/>
        </w:rPr>
        <w:t>第一章</w:t>
      </w:r>
      <w:r>
        <w:rPr>
          <w:rFonts w:ascii="宋体" w:hAnsi="宋体" w:eastAsia="宋体"/>
          <w:b/>
          <w:bCs/>
        </w:rPr>
        <w:t xml:space="preserve">  </w:t>
      </w:r>
      <w:r>
        <w:rPr>
          <w:rFonts w:hint="eastAsia" w:ascii="宋体" w:hAnsi="宋体" w:eastAsia="宋体"/>
          <w:b/>
          <w:bCs/>
        </w:rPr>
        <w:t>总则</w:t>
      </w:r>
      <w:bookmarkEnd w:id="66"/>
      <w:bookmarkEnd w:id="67"/>
    </w:p>
    <w:p w14:paraId="269D3272">
      <w:pPr>
        <w:spacing w:before="156" w:beforeLines="50" w:after="156" w:afterLines="50" w:line="480" w:lineRule="exact"/>
        <w:ind w:firstLine="480" w:firstLineChars="200"/>
        <w:rPr>
          <w:rFonts w:ascii="宋体" w:hAnsi="宋体" w:eastAsia="宋体"/>
        </w:rPr>
      </w:pPr>
      <w:r>
        <w:rPr>
          <w:rFonts w:hint="eastAsia" w:ascii="宋体" w:hAnsi="宋体" w:eastAsia="宋体"/>
        </w:rPr>
        <w:t>第一条</w:t>
      </w:r>
      <w:r>
        <w:rPr>
          <w:rFonts w:ascii="宋体" w:hAnsi="宋体" w:eastAsia="宋体"/>
        </w:rPr>
        <w:t xml:space="preserve"> 为规范基金会慈善信托，保护</w:t>
      </w:r>
      <w:r>
        <w:rPr>
          <w:rFonts w:hint="eastAsia" w:ascii="宋体" w:hAnsi="宋体" w:eastAsia="宋体"/>
        </w:rPr>
        <w:t>各方</w:t>
      </w:r>
      <w:r>
        <w:rPr>
          <w:rFonts w:ascii="宋体" w:hAnsi="宋体" w:eastAsia="宋体"/>
        </w:rPr>
        <w:t>当事人的合法权益，促进慈善事业发展，根据《中华人民共和国慈善法》（简称《慈善法》）、《中华人民共和国信托法》（简称《信托法》）、《中华人民共和国银行业监督管理法》（简称《银行业监督管理法》）</w:t>
      </w:r>
      <w:r>
        <w:rPr>
          <w:rFonts w:hint="eastAsia" w:ascii="宋体" w:hAnsi="宋体" w:eastAsia="宋体"/>
        </w:rPr>
        <w:t>、《慈善信托管理办法》（银监发〔</w:t>
      </w:r>
      <w:r>
        <w:rPr>
          <w:rFonts w:ascii="宋体" w:hAnsi="宋体" w:eastAsia="宋体"/>
        </w:rPr>
        <w:t>2017〕37号）等法律法规，制定</w:t>
      </w:r>
      <w:r>
        <w:rPr>
          <w:rFonts w:hint="eastAsia" w:ascii="宋体" w:hAnsi="宋体" w:eastAsia="宋体"/>
        </w:rPr>
        <w:t>本制度</w:t>
      </w:r>
      <w:r>
        <w:rPr>
          <w:rFonts w:ascii="宋体" w:hAnsi="宋体" w:eastAsia="宋体"/>
        </w:rPr>
        <w:t>。</w:t>
      </w:r>
    </w:p>
    <w:p w14:paraId="77A502C6">
      <w:pPr>
        <w:spacing w:before="156" w:beforeLines="50" w:after="156" w:afterLines="50" w:line="480" w:lineRule="exact"/>
        <w:ind w:firstLine="480" w:firstLineChars="200"/>
        <w:rPr>
          <w:rFonts w:ascii="宋体" w:hAnsi="宋体" w:eastAsia="宋体"/>
        </w:rPr>
      </w:pPr>
      <w:r>
        <w:rPr>
          <w:rFonts w:hint="eastAsia" w:ascii="宋体" w:hAnsi="宋体" w:eastAsia="宋体"/>
        </w:rPr>
        <w:t>第二条</w:t>
      </w:r>
      <w:r>
        <w:rPr>
          <w:rFonts w:ascii="宋体" w:hAnsi="宋体" w:eastAsia="宋体"/>
        </w:rPr>
        <w:t xml:space="preserve"> </w:t>
      </w:r>
      <w:r>
        <w:rPr>
          <w:rFonts w:hint="eastAsia" w:ascii="宋体" w:hAnsi="宋体" w:eastAsia="宋体"/>
        </w:rPr>
        <w:t>基金会可以作为慈善信托的委托人。基金会可以基于慈善目的，依法将财产委托给公信力较强的信托公司，由受托的信托公司按照基金会的意愿以受托人的名义进行管理和处分，开展慈善活动。</w:t>
      </w:r>
    </w:p>
    <w:p w14:paraId="10684B16">
      <w:pPr>
        <w:spacing w:before="156" w:beforeLines="50" w:after="156" w:afterLines="50" w:line="480" w:lineRule="exact"/>
        <w:ind w:firstLine="480" w:firstLineChars="200"/>
        <w:rPr>
          <w:rFonts w:ascii="宋体" w:hAnsi="宋体" w:eastAsia="宋体"/>
        </w:rPr>
      </w:pPr>
      <w:r>
        <w:rPr>
          <w:rFonts w:hint="eastAsia" w:ascii="宋体" w:hAnsi="宋体" w:eastAsia="宋体"/>
        </w:rPr>
        <w:t>第三条</w:t>
      </w:r>
      <w:r>
        <w:rPr>
          <w:rFonts w:ascii="宋体" w:hAnsi="宋体" w:eastAsia="宋体"/>
        </w:rPr>
        <w:t xml:space="preserve"> </w:t>
      </w:r>
      <w:r>
        <w:rPr>
          <w:rFonts w:hint="eastAsia" w:ascii="宋体" w:hAnsi="宋体" w:eastAsia="宋体"/>
        </w:rPr>
        <w:t>基金会作为慈善信托委托人，应当遵循合法、自愿、诚信的原则开展慈善活动，不得违背社会公德、危害国家安全、损害社会公共利益和他人合法权益。</w:t>
      </w:r>
    </w:p>
    <w:p w14:paraId="0C1546DD">
      <w:pPr>
        <w:spacing w:before="156" w:beforeLines="50" w:after="156" w:afterLines="50" w:line="480" w:lineRule="exact"/>
        <w:jc w:val="center"/>
        <w:rPr>
          <w:rFonts w:ascii="宋体" w:hAnsi="宋体" w:eastAsia="宋体"/>
          <w:b/>
          <w:bCs/>
        </w:rPr>
      </w:pPr>
      <w:bookmarkStart w:id="68" w:name="_Toc1762418346_WPSOffice_Level1"/>
      <w:bookmarkStart w:id="69" w:name="_Toc1486584682_WPSOffice_Level1"/>
      <w:r>
        <w:rPr>
          <w:rFonts w:hint="eastAsia" w:ascii="宋体" w:hAnsi="宋体" w:eastAsia="宋体"/>
          <w:b/>
          <w:bCs/>
        </w:rPr>
        <w:t>第二章</w:t>
      </w:r>
      <w:r>
        <w:rPr>
          <w:rFonts w:ascii="宋体" w:hAnsi="宋体" w:eastAsia="宋体"/>
          <w:b/>
          <w:bCs/>
        </w:rPr>
        <w:t xml:space="preserve">  </w:t>
      </w:r>
      <w:r>
        <w:rPr>
          <w:rFonts w:hint="eastAsia" w:ascii="宋体" w:hAnsi="宋体" w:eastAsia="宋体"/>
          <w:b/>
          <w:bCs/>
        </w:rPr>
        <w:t>慈善信托的设立</w:t>
      </w:r>
      <w:bookmarkEnd w:id="68"/>
      <w:bookmarkEnd w:id="69"/>
    </w:p>
    <w:p w14:paraId="274C44C8">
      <w:pPr>
        <w:spacing w:before="156" w:beforeLines="50" w:after="156" w:afterLines="50" w:line="480" w:lineRule="exact"/>
        <w:ind w:firstLine="480" w:firstLineChars="200"/>
        <w:rPr>
          <w:rFonts w:ascii="宋体" w:hAnsi="宋体" w:eastAsia="宋体"/>
        </w:rPr>
      </w:pPr>
      <w:r>
        <w:rPr>
          <w:rFonts w:hint="eastAsia" w:ascii="宋体" w:hAnsi="宋体" w:eastAsia="宋体"/>
        </w:rPr>
        <w:t>第四条</w:t>
      </w:r>
      <w:r>
        <w:rPr>
          <w:rFonts w:ascii="宋体" w:hAnsi="宋体" w:eastAsia="宋体"/>
        </w:rPr>
        <w:t xml:space="preserve"> </w:t>
      </w:r>
      <w:r>
        <w:rPr>
          <w:rFonts w:hint="eastAsia" w:ascii="宋体" w:hAnsi="宋体" w:eastAsia="宋体"/>
        </w:rPr>
        <w:t>理</w:t>
      </w:r>
      <w:r>
        <w:rPr>
          <w:rFonts w:ascii="宋体" w:hAnsi="宋体" w:eastAsia="宋体"/>
        </w:rPr>
        <w:t>事会是基金会</w:t>
      </w:r>
      <w:r>
        <w:rPr>
          <w:rFonts w:hint="eastAsia" w:ascii="宋体" w:hAnsi="宋体" w:eastAsia="宋体"/>
        </w:rPr>
        <w:t>慈善信托项目的</w:t>
      </w:r>
      <w:r>
        <w:rPr>
          <w:rFonts w:ascii="宋体" w:hAnsi="宋体" w:eastAsia="宋体"/>
        </w:rPr>
        <w:t>决策机构，</w:t>
      </w:r>
      <w:r>
        <w:rPr>
          <w:rFonts w:hint="eastAsia" w:ascii="宋体" w:hAnsi="宋体" w:eastAsia="宋体"/>
        </w:rPr>
        <w:t>理事会直接</w:t>
      </w:r>
      <w:r>
        <w:rPr>
          <w:rFonts w:ascii="宋体" w:hAnsi="宋体" w:eastAsia="宋体"/>
        </w:rPr>
        <w:t>负责</w:t>
      </w:r>
      <w:r>
        <w:rPr>
          <w:rFonts w:hint="eastAsia" w:ascii="宋体" w:hAnsi="宋体" w:eastAsia="宋体"/>
        </w:rPr>
        <w:t>慈善信托项目设立</w:t>
      </w:r>
      <w:r>
        <w:rPr>
          <w:rFonts w:ascii="宋体" w:hAnsi="宋体" w:eastAsia="宋体"/>
        </w:rPr>
        <w:t>、风险评估等工作。监事会</w:t>
      </w:r>
      <w:r>
        <w:rPr>
          <w:rFonts w:hint="eastAsia" w:ascii="宋体" w:hAnsi="宋体" w:eastAsia="宋体"/>
        </w:rPr>
        <w:t>（或监事）</w:t>
      </w:r>
      <w:r>
        <w:rPr>
          <w:rFonts w:ascii="宋体" w:hAnsi="宋体" w:eastAsia="宋体"/>
        </w:rPr>
        <w:t>根据章程实行监督</w:t>
      </w:r>
      <w:r>
        <w:rPr>
          <w:rFonts w:hint="eastAsia" w:ascii="宋体" w:hAnsi="宋体" w:eastAsia="宋体"/>
        </w:rPr>
        <w:t>。</w:t>
      </w:r>
    </w:p>
    <w:p w14:paraId="33F784D9">
      <w:pPr>
        <w:spacing w:before="156" w:beforeLines="50" w:after="156" w:afterLines="50" w:line="480" w:lineRule="exact"/>
        <w:ind w:firstLine="480" w:firstLineChars="200"/>
        <w:rPr>
          <w:rFonts w:ascii="宋体" w:hAnsi="宋体" w:eastAsia="宋体"/>
        </w:rPr>
      </w:pPr>
      <w:r>
        <w:rPr>
          <w:rFonts w:hint="eastAsia" w:ascii="宋体" w:hAnsi="宋体" w:eastAsia="宋体"/>
        </w:rPr>
        <w:t>第五条</w:t>
      </w:r>
      <w:r>
        <w:rPr>
          <w:rFonts w:ascii="宋体" w:hAnsi="宋体" w:eastAsia="宋体"/>
        </w:rPr>
        <w:t xml:space="preserve"> 理事会</w:t>
      </w:r>
      <w:r>
        <w:rPr>
          <w:rFonts w:hint="eastAsia" w:ascii="宋体" w:hAnsi="宋体" w:eastAsia="宋体"/>
        </w:rPr>
        <w:t>就慈善信托项目管理</w:t>
      </w:r>
      <w:r>
        <w:rPr>
          <w:rFonts w:ascii="宋体" w:hAnsi="宋体" w:eastAsia="宋体"/>
        </w:rPr>
        <w:t>职责如下：</w:t>
      </w:r>
    </w:p>
    <w:p w14:paraId="39B04AA8">
      <w:pPr>
        <w:spacing w:before="156" w:beforeLines="50" w:after="156" w:afterLines="50" w:line="480" w:lineRule="exact"/>
        <w:ind w:firstLine="480" w:firstLineChars="200"/>
        <w:rPr>
          <w:rFonts w:ascii="宋体" w:hAnsi="宋体" w:eastAsia="宋体"/>
        </w:rPr>
      </w:pPr>
      <w:r>
        <w:rPr>
          <w:rFonts w:ascii="宋体" w:hAnsi="宋体" w:eastAsia="宋体"/>
        </w:rPr>
        <w:t>（一）负责</w:t>
      </w:r>
      <w:r>
        <w:rPr>
          <w:rFonts w:hint="eastAsia" w:ascii="宋体" w:hAnsi="宋体" w:eastAsia="宋体"/>
        </w:rPr>
        <w:t>慈善信托管理制度的</w:t>
      </w:r>
      <w:r>
        <w:rPr>
          <w:rFonts w:ascii="宋体" w:hAnsi="宋体" w:eastAsia="宋体"/>
        </w:rPr>
        <w:t>制定和修改；</w:t>
      </w:r>
    </w:p>
    <w:p w14:paraId="3B2CCFFF">
      <w:pPr>
        <w:spacing w:before="156" w:beforeLines="50" w:after="156" w:afterLines="50" w:line="480" w:lineRule="exact"/>
        <w:ind w:firstLine="480" w:firstLineChars="200"/>
        <w:rPr>
          <w:rFonts w:ascii="宋体" w:hAnsi="宋体" w:eastAsia="宋体"/>
        </w:rPr>
      </w:pPr>
      <w:r>
        <w:rPr>
          <w:rFonts w:ascii="宋体" w:hAnsi="宋体" w:eastAsia="宋体"/>
        </w:rPr>
        <w:t>（二）对</w:t>
      </w:r>
      <w:r>
        <w:rPr>
          <w:rFonts w:hint="eastAsia" w:ascii="宋体" w:hAnsi="宋体" w:eastAsia="宋体"/>
        </w:rPr>
        <w:t>慈善信托项目</w:t>
      </w:r>
      <w:r>
        <w:rPr>
          <w:rFonts w:ascii="宋体" w:hAnsi="宋体" w:eastAsia="宋体"/>
        </w:rPr>
        <w:t>方案</w:t>
      </w:r>
      <w:r>
        <w:rPr>
          <w:rFonts w:hint="eastAsia" w:ascii="宋体" w:hAnsi="宋体" w:eastAsia="宋体"/>
        </w:rPr>
        <w:t>进</w:t>
      </w:r>
      <w:r>
        <w:rPr>
          <w:rFonts w:ascii="宋体" w:hAnsi="宋体" w:eastAsia="宋体"/>
        </w:rPr>
        <w:t>行决策；</w:t>
      </w:r>
    </w:p>
    <w:p w14:paraId="41342F9F">
      <w:pPr>
        <w:spacing w:before="156" w:beforeLines="50" w:after="156" w:afterLines="50" w:line="480" w:lineRule="exact"/>
        <w:ind w:firstLine="480" w:firstLineChars="200"/>
        <w:rPr>
          <w:rFonts w:ascii="宋体" w:hAnsi="宋体" w:eastAsia="宋体"/>
        </w:rPr>
      </w:pPr>
      <w:r>
        <w:rPr>
          <w:rFonts w:ascii="宋体" w:hAnsi="宋体" w:eastAsia="宋体"/>
        </w:rPr>
        <w:t>（</w:t>
      </w:r>
      <w:r>
        <w:rPr>
          <w:rFonts w:hint="eastAsia" w:ascii="宋体" w:hAnsi="宋体" w:eastAsia="宋体"/>
        </w:rPr>
        <w:t>三）</w:t>
      </w:r>
      <w:r>
        <w:rPr>
          <w:rFonts w:ascii="宋体" w:hAnsi="宋体" w:eastAsia="宋体"/>
        </w:rPr>
        <w:t>制定具体</w:t>
      </w:r>
      <w:r>
        <w:rPr>
          <w:rFonts w:hint="eastAsia" w:ascii="宋体" w:hAnsi="宋体" w:eastAsia="宋体"/>
        </w:rPr>
        <w:t>慈善信托项目实施</w:t>
      </w:r>
      <w:r>
        <w:rPr>
          <w:rFonts w:ascii="宋体" w:hAnsi="宋体" w:eastAsia="宋体"/>
        </w:rPr>
        <w:t>方案；</w:t>
      </w:r>
    </w:p>
    <w:p w14:paraId="0A13B344">
      <w:pPr>
        <w:spacing w:before="156" w:beforeLines="50" w:after="156" w:afterLines="50" w:line="480" w:lineRule="exact"/>
        <w:ind w:firstLine="480" w:firstLineChars="200"/>
        <w:rPr>
          <w:rFonts w:ascii="宋体" w:hAnsi="宋体" w:eastAsia="宋体"/>
        </w:rPr>
      </w:pPr>
      <w:r>
        <w:rPr>
          <w:rFonts w:ascii="宋体" w:hAnsi="宋体" w:eastAsia="宋体"/>
        </w:rPr>
        <w:t>（</w:t>
      </w:r>
      <w:r>
        <w:rPr>
          <w:rFonts w:hint="eastAsia" w:ascii="宋体" w:hAnsi="宋体" w:eastAsia="宋体"/>
        </w:rPr>
        <w:t>四</w:t>
      </w:r>
      <w:r>
        <w:rPr>
          <w:rFonts w:ascii="宋体" w:hAnsi="宋体" w:eastAsia="宋体"/>
        </w:rPr>
        <w:t>）对</w:t>
      </w:r>
      <w:r>
        <w:rPr>
          <w:rFonts w:hint="eastAsia" w:ascii="宋体" w:hAnsi="宋体" w:eastAsia="宋体"/>
        </w:rPr>
        <w:t>慈善信托的投资项目</w:t>
      </w:r>
      <w:r>
        <w:rPr>
          <w:rFonts w:ascii="宋体" w:hAnsi="宋体" w:eastAsia="宋体"/>
        </w:rPr>
        <w:t>进行效益以及风险评估；</w:t>
      </w:r>
    </w:p>
    <w:p w14:paraId="30D0FCA3">
      <w:pPr>
        <w:spacing w:before="156" w:beforeLines="50" w:after="156" w:afterLines="50" w:line="480" w:lineRule="exact"/>
        <w:ind w:firstLine="480" w:firstLineChars="200"/>
        <w:rPr>
          <w:rFonts w:ascii="宋体" w:hAnsi="宋体" w:eastAsia="宋体"/>
        </w:rPr>
      </w:pPr>
      <w:r>
        <w:rPr>
          <w:rFonts w:ascii="宋体" w:hAnsi="宋体" w:eastAsia="宋体"/>
        </w:rPr>
        <w:t>（</w:t>
      </w:r>
      <w:r>
        <w:rPr>
          <w:rFonts w:hint="eastAsia" w:ascii="宋体" w:hAnsi="宋体" w:eastAsia="宋体"/>
        </w:rPr>
        <w:t>五</w:t>
      </w:r>
      <w:r>
        <w:rPr>
          <w:rFonts w:ascii="宋体" w:hAnsi="宋体" w:eastAsia="宋体"/>
        </w:rPr>
        <w:t>）对</w:t>
      </w:r>
      <w:r>
        <w:rPr>
          <w:rFonts w:hint="eastAsia" w:ascii="宋体" w:hAnsi="宋体" w:eastAsia="宋体"/>
        </w:rPr>
        <w:t>慈善信托</w:t>
      </w:r>
      <w:r>
        <w:rPr>
          <w:rFonts w:ascii="宋体" w:hAnsi="宋体" w:eastAsia="宋体"/>
        </w:rPr>
        <w:t>项目</w:t>
      </w:r>
      <w:r>
        <w:rPr>
          <w:rFonts w:hint="eastAsia" w:ascii="宋体" w:hAnsi="宋体" w:eastAsia="宋体"/>
        </w:rPr>
        <w:t>执行</w:t>
      </w:r>
      <w:r>
        <w:rPr>
          <w:rFonts w:ascii="宋体" w:hAnsi="宋体" w:eastAsia="宋体"/>
        </w:rPr>
        <w:t xml:space="preserve">定期进行检查； </w:t>
      </w:r>
    </w:p>
    <w:p w14:paraId="5C78D740">
      <w:pPr>
        <w:spacing w:before="156" w:beforeLines="50" w:after="156" w:afterLines="50" w:line="480" w:lineRule="exact"/>
        <w:ind w:firstLine="480" w:firstLineChars="200"/>
        <w:rPr>
          <w:rFonts w:ascii="宋体" w:hAnsi="宋体" w:eastAsia="宋体"/>
        </w:rPr>
      </w:pPr>
      <w:r>
        <w:rPr>
          <w:rFonts w:ascii="宋体" w:hAnsi="宋体" w:eastAsia="宋体"/>
        </w:rPr>
        <w:t>（</w:t>
      </w:r>
      <w:r>
        <w:rPr>
          <w:rFonts w:hint="eastAsia" w:ascii="宋体" w:hAnsi="宋体" w:eastAsia="宋体"/>
        </w:rPr>
        <w:t>六）</w:t>
      </w:r>
      <w:r>
        <w:rPr>
          <w:rFonts w:ascii="宋体" w:hAnsi="宋体" w:eastAsia="宋体"/>
        </w:rPr>
        <w:t>有权对所有</w:t>
      </w:r>
      <w:r>
        <w:rPr>
          <w:rFonts w:hint="eastAsia" w:ascii="宋体" w:hAnsi="宋体" w:eastAsia="宋体"/>
        </w:rPr>
        <w:t>慈善信托行为</w:t>
      </w:r>
      <w:r>
        <w:rPr>
          <w:rFonts w:ascii="宋体" w:hAnsi="宋体" w:eastAsia="宋体"/>
        </w:rPr>
        <w:t>进行决策。</w:t>
      </w:r>
    </w:p>
    <w:p w14:paraId="22E68A85">
      <w:pPr>
        <w:spacing w:before="156" w:beforeLines="50" w:after="156" w:afterLines="50" w:line="480" w:lineRule="exact"/>
        <w:ind w:firstLine="480" w:firstLineChars="200"/>
        <w:rPr>
          <w:rFonts w:ascii="宋体" w:hAnsi="宋体" w:eastAsia="宋体"/>
        </w:rPr>
      </w:pPr>
      <w:r>
        <w:rPr>
          <w:rFonts w:hint="eastAsia" w:ascii="宋体" w:hAnsi="宋体" w:eastAsia="宋体"/>
        </w:rPr>
        <w:t>慈善信托</w:t>
      </w:r>
      <w:r>
        <w:rPr>
          <w:rFonts w:ascii="宋体" w:hAnsi="宋体" w:eastAsia="宋体"/>
        </w:rPr>
        <w:t>不得指定或者变相指定与</w:t>
      </w:r>
      <w:r>
        <w:rPr>
          <w:rFonts w:hint="eastAsia" w:ascii="宋体" w:hAnsi="宋体" w:eastAsia="宋体"/>
        </w:rPr>
        <w:t>信托公司</w:t>
      </w:r>
      <w:r>
        <w:rPr>
          <w:rFonts w:ascii="宋体" w:hAnsi="宋体" w:eastAsia="宋体"/>
        </w:rPr>
        <w:t>具有利害关系的人作为受益人。</w:t>
      </w:r>
    </w:p>
    <w:p w14:paraId="015CC2BF">
      <w:pPr>
        <w:spacing w:before="156" w:beforeLines="50" w:after="156" w:afterLines="50" w:line="480" w:lineRule="exact"/>
        <w:ind w:firstLine="480" w:firstLineChars="200"/>
        <w:rPr>
          <w:rFonts w:ascii="宋体" w:hAnsi="宋体" w:eastAsia="宋体"/>
        </w:rPr>
      </w:pPr>
      <w:r>
        <w:rPr>
          <w:rFonts w:hint="eastAsia" w:ascii="宋体" w:hAnsi="宋体" w:eastAsia="宋体"/>
        </w:rPr>
        <w:t>第六条</w:t>
      </w:r>
      <w:r>
        <w:rPr>
          <w:rFonts w:ascii="宋体" w:hAnsi="宋体" w:eastAsia="宋体"/>
        </w:rPr>
        <w:t xml:space="preserve"> </w:t>
      </w:r>
      <w:r>
        <w:rPr>
          <w:rFonts w:hint="eastAsia" w:ascii="宋体" w:hAnsi="宋体" w:eastAsia="宋体"/>
        </w:rPr>
        <w:t>基金会委托其他受托人设立慈善信托，应当通过民主决策程序，由理事会表决通过。理事会会会议应当有</w:t>
      </w:r>
      <w:r>
        <w:rPr>
          <w:rFonts w:ascii="宋体" w:hAnsi="宋体" w:eastAsia="宋体"/>
        </w:rPr>
        <w:t>2/3</w:t>
      </w:r>
      <w:r>
        <w:rPr>
          <w:rFonts w:hint="eastAsia" w:ascii="宋体" w:hAnsi="宋体" w:eastAsia="宋体"/>
        </w:rPr>
        <w:t>以上成员出席方能召开，理事会决议须经全体</w:t>
      </w:r>
      <w:r>
        <w:rPr>
          <w:rFonts w:ascii="宋体" w:hAnsi="宋体" w:eastAsia="宋体"/>
        </w:rPr>
        <w:t>2/3</w:t>
      </w:r>
      <w:r>
        <w:rPr>
          <w:rFonts w:hint="eastAsia" w:ascii="宋体" w:hAnsi="宋体" w:eastAsia="宋体"/>
        </w:rPr>
        <w:t>以上通过，方为有效。</w:t>
      </w:r>
    </w:p>
    <w:p w14:paraId="5EA7D63A">
      <w:pPr>
        <w:spacing w:before="156" w:beforeLines="50" w:after="156" w:afterLines="50" w:line="480" w:lineRule="exact"/>
        <w:ind w:firstLine="480" w:firstLineChars="200"/>
        <w:rPr>
          <w:rFonts w:ascii="宋体" w:hAnsi="宋体" w:eastAsia="宋体"/>
        </w:rPr>
      </w:pPr>
      <w:r>
        <w:rPr>
          <w:rFonts w:ascii="宋体" w:hAnsi="宋体" w:eastAsia="宋体"/>
        </w:rPr>
        <w:t>第</w:t>
      </w:r>
      <w:r>
        <w:rPr>
          <w:rFonts w:hint="eastAsia" w:ascii="宋体" w:hAnsi="宋体" w:eastAsia="宋体"/>
        </w:rPr>
        <w:t>七</w:t>
      </w:r>
      <w:r>
        <w:rPr>
          <w:rFonts w:ascii="宋体" w:hAnsi="宋体" w:eastAsia="宋体"/>
        </w:rPr>
        <w:t xml:space="preserve">条 </w:t>
      </w:r>
      <w:r>
        <w:rPr>
          <w:rFonts w:hint="eastAsia" w:ascii="宋体" w:hAnsi="宋体" w:eastAsia="宋体"/>
        </w:rPr>
        <w:t>慈善信托设立或项目执行</w:t>
      </w:r>
      <w:r>
        <w:rPr>
          <w:rFonts w:ascii="宋体" w:hAnsi="宋体" w:eastAsia="宋体"/>
        </w:rPr>
        <w:t>方案，</w:t>
      </w:r>
      <w:r>
        <w:rPr>
          <w:rFonts w:hint="eastAsia" w:ascii="宋体" w:hAnsi="宋体" w:eastAsia="宋体"/>
        </w:rPr>
        <w:t>基金会理事会</w:t>
      </w:r>
      <w:r>
        <w:rPr>
          <w:rFonts w:ascii="宋体" w:hAnsi="宋体" w:eastAsia="宋体"/>
        </w:rPr>
        <w:t>成员进行充分论证，并作出</w:t>
      </w:r>
      <w:r>
        <w:rPr>
          <w:rFonts w:hint="eastAsia" w:ascii="宋体" w:hAnsi="宋体" w:eastAsia="宋体"/>
        </w:rPr>
        <w:t>决策</w:t>
      </w:r>
      <w:r>
        <w:rPr>
          <w:rFonts w:ascii="宋体" w:hAnsi="宋体" w:eastAsia="宋体"/>
        </w:rPr>
        <w:t>意见。</w:t>
      </w:r>
      <w:r>
        <w:rPr>
          <w:rFonts w:hint="eastAsia" w:ascii="宋体" w:hAnsi="宋体" w:eastAsia="宋体"/>
        </w:rPr>
        <w:t>理事会</w:t>
      </w:r>
      <w:r>
        <w:rPr>
          <w:rFonts w:ascii="宋体" w:hAnsi="宋体" w:eastAsia="宋体"/>
        </w:rPr>
        <w:t>意见应当充分记录保存，必要的时候，可以通过网络会议进行讨论决策，网络会议的可以进行录音或录像。</w:t>
      </w:r>
    </w:p>
    <w:p w14:paraId="67D25BCA">
      <w:pPr>
        <w:spacing w:before="156" w:beforeLines="50" w:after="156" w:afterLines="50" w:line="480" w:lineRule="exact"/>
        <w:ind w:firstLine="480" w:firstLineChars="200"/>
        <w:rPr>
          <w:rFonts w:ascii="宋体" w:hAnsi="宋体" w:eastAsia="宋体"/>
        </w:rPr>
      </w:pPr>
      <w:r>
        <w:rPr>
          <w:rFonts w:hint="eastAsia" w:ascii="宋体" w:hAnsi="宋体" w:eastAsia="宋体"/>
        </w:rPr>
        <w:t>第八条</w:t>
      </w:r>
      <w:r>
        <w:rPr>
          <w:rFonts w:ascii="宋体" w:hAnsi="宋体" w:eastAsia="宋体"/>
        </w:rPr>
        <w:t xml:space="preserve"> </w:t>
      </w:r>
      <w:r>
        <w:rPr>
          <w:rFonts w:hint="eastAsia" w:ascii="宋体" w:hAnsi="宋体" w:eastAsia="宋体"/>
        </w:rPr>
        <w:t>基金会设立慈善信托必须有确定的信托财产，并且该信托财产必须是委托人合法所有的财产。委托人应当提供信托财产合法的有效证明。前款所称财产包括合法的财产权利。</w:t>
      </w:r>
    </w:p>
    <w:p w14:paraId="0C184F32">
      <w:pPr>
        <w:spacing w:before="156" w:beforeLines="50" w:after="156" w:afterLines="50" w:line="480" w:lineRule="exact"/>
        <w:ind w:firstLine="480" w:firstLineChars="200"/>
        <w:rPr>
          <w:rFonts w:ascii="宋体" w:hAnsi="宋体" w:eastAsia="宋体"/>
        </w:rPr>
      </w:pPr>
      <w:r>
        <w:rPr>
          <w:rFonts w:hint="eastAsia" w:ascii="宋体" w:hAnsi="宋体" w:eastAsia="宋体"/>
        </w:rPr>
        <w:t>第九条</w:t>
      </w:r>
      <w:r>
        <w:rPr>
          <w:rFonts w:ascii="宋体" w:hAnsi="宋体" w:eastAsia="宋体"/>
        </w:rPr>
        <w:t xml:space="preserve"> </w:t>
      </w:r>
      <w:r>
        <w:rPr>
          <w:rFonts w:hint="eastAsia" w:ascii="宋体" w:hAnsi="宋体" w:eastAsia="宋体"/>
        </w:rPr>
        <w:t>基金会作为委托人设立慈善信托的，应当委托具有资质的信托公司设立慈善信托。</w:t>
      </w:r>
    </w:p>
    <w:p w14:paraId="1BA2D97A">
      <w:pPr>
        <w:spacing w:before="156" w:beforeLines="50" w:after="156" w:afterLines="50" w:line="480" w:lineRule="exact"/>
        <w:ind w:firstLine="480" w:firstLineChars="200"/>
        <w:rPr>
          <w:rFonts w:ascii="宋体" w:hAnsi="宋体" w:eastAsia="宋体"/>
        </w:rPr>
      </w:pPr>
      <w:r>
        <w:rPr>
          <w:rFonts w:hint="eastAsia" w:ascii="宋体" w:hAnsi="宋体" w:eastAsia="宋体"/>
        </w:rPr>
        <w:t>第十条</w:t>
      </w:r>
      <w:r>
        <w:rPr>
          <w:rFonts w:ascii="宋体" w:hAnsi="宋体" w:eastAsia="宋体"/>
        </w:rPr>
        <w:t xml:space="preserve"> 基金会</w:t>
      </w:r>
      <w:r>
        <w:rPr>
          <w:rFonts w:hint="eastAsia" w:ascii="宋体" w:hAnsi="宋体" w:eastAsia="宋体"/>
        </w:rPr>
        <w:t>委托信托公司设立慈善信托的，应当设立</w:t>
      </w:r>
      <w:r>
        <w:rPr>
          <w:rFonts w:ascii="宋体" w:hAnsi="宋体" w:eastAsia="宋体"/>
        </w:rPr>
        <w:t>察人。</w:t>
      </w:r>
    </w:p>
    <w:p w14:paraId="517DEC85">
      <w:pPr>
        <w:spacing w:before="156" w:beforeLines="50" w:after="156" w:afterLines="50" w:line="480" w:lineRule="exact"/>
        <w:ind w:firstLine="480" w:firstLineChars="200"/>
        <w:rPr>
          <w:rFonts w:ascii="宋体" w:hAnsi="宋体" w:eastAsia="宋体"/>
        </w:rPr>
      </w:pPr>
      <w:r>
        <w:rPr>
          <w:rFonts w:hint="eastAsia" w:ascii="宋体" w:hAnsi="宋体" w:eastAsia="宋体"/>
        </w:rPr>
        <w:t>监察人对受托人的行为进行监督，依法维护基金会和受益人的权益。监察人发现受托人违反信托义务或者难以履行职责的，应当向基金会报告，并有权以自己的名义向人民法院提起诉讼。</w:t>
      </w:r>
    </w:p>
    <w:p w14:paraId="66E783EE">
      <w:pPr>
        <w:spacing w:before="156" w:beforeLines="50" w:after="156" w:afterLines="50" w:line="480" w:lineRule="exact"/>
        <w:ind w:firstLine="480" w:firstLineChars="200"/>
        <w:rPr>
          <w:rFonts w:ascii="宋体" w:hAnsi="宋体" w:eastAsia="宋体"/>
        </w:rPr>
      </w:pPr>
      <w:r>
        <w:rPr>
          <w:rFonts w:hint="eastAsia" w:ascii="宋体" w:hAnsi="宋体" w:eastAsia="宋体"/>
        </w:rPr>
        <w:t>第十一条</w:t>
      </w:r>
      <w:r>
        <w:rPr>
          <w:rFonts w:ascii="宋体" w:hAnsi="宋体" w:eastAsia="宋体"/>
        </w:rPr>
        <w:t xml:space="preserve">  </w:t>
      </w:r>
      <w:r>
        <w:rPr>
          <w:rFonts w:hint="eastAsia" w:ascii="宋体" w:hAnsi="宋体" w:eastAsia="宋体"/>
        </w:rPr>
        <w:t>基金会委托信托公司设立慈善信托的，依照信托法的签署相关法律文件，并且依照慈善法规定，由信托公司办理慈善信托的备案。</w:t>
      </w:r>
    </w:p>
    <w:p w14:paraId="5ABD2497">
      <w:pPr>
        <w:spacing w:before="156" w:beforeLines="50" w:after="156" w:afterLines="50" w:line="480" w:lineRule="exact"/>
        <w:ind w:firstLine="480" w:firstLineChars="200"/>
        <w:rPr>
          <w:rFonts w:ascii="宋体" w:hAnsi="宋体" w:eastAsia="宋体"/>
        </w:rPr>
      </w:pPr>
      <w:r>
        <w:rPr>
          <w:rFonts w:hint="eastAsia" w:ascii="宋体" w:hAnsi="宋体" w:eastAsia="宋体"/>
        </w:rPr>
        <w:t>第十二条</w:t>
      </w:r>
      <w:r>
        <w:rPr>
          <w:rFonts w:ascii="宋体" w:hAnsi="宋体" w:eastAsia="宋体"/>
        </w:rPr>
        <w:t xml:space="preserve"> </w:t>
      </w:r>
      <w:r>
        <w:rPr>
          <w:rFonts w:hint="eastAsia" w:ascii="宋体" w:hAnsi="宋体" w:eastAsia="宋体"/>
        </w:rPr>
        <w:t>慈善信托备案后，当事人根据信托文件约定或者经原委托人同意部分变更慈善信托事项的，基金会应当在变更之日起</w:t>
      </w:r>
      <w:r>
        <w:rPr>
          <w:rFonts w:ascii="宋体" w:hAnsi="宋体" w:eastAsia="宋体"/>
        </w:rPr>
        <w:t>7日内向</w:t>
      </w:r>
      <w:r>
        <w:rPr>
          <w:rFonts w:hint="eastAsia" w:ascii="宋体" w:hAnsi="宋体" w:eastAsia="宋体"/>
        </w:rPr>
        <w:t>北京市民政局</w:t>
      </w:r>
      <w:r>
        <w:rPr>
          <w:rFonts w:ascii="宋体" w:hAnsi="宋体" w:eastAsia="宋体"/>
        </w:rPr>
        <w:t>申请备案，并提交发生变更的相关书面材料。</w:t>
      </w:r>
    </w:p>
    <w:p w14:paraId="25319A9C">
      <w:pPr>
        <w:spacing w:before="156" w:beforeLines="50" w:after="156" w:afterLines="50" w:line="480" w:lineRule="exact"/>
        <w:jc w:val="center"/>
        <w:rPr>
          <w:rFonts w:ascii="宋体" w:hAnsi="宋体" w:eastAsia="宋体"/>
          <w:b/>
          <w:bCs/>
        </w:rPr>
      </w:pPr>
      <w:bookmarkStart w:id="70" w:name="_Toc1204001176_WPSOffice_Level1"/>
      <w:bookmarkStart w:id="71" w:name="_Toc723198151_WPSOffice_Level1"/>
      <w:r>
        <w:rPr>
          <w:rFonts w:hint="eastAsia" w:ascii="宋体" w:hAnsi="宋体" w:eastAsia="宋体"/>
          <w:b/>
          <w:bCs/>
        </w:rPr>
        <w:t>第三章</w:t>
      </w:r>
      <w:r>
        <w:rPr>
          <w:rFonts w:ascii="宋体" w:hAnsi="宋体" w:eastAsia="宋体"/>
          <w:b/>
          <w:bCs/>
        </w:rPr>
        <w:t xml:space="preserve">  </w:t>
      </w:r>
      <w:r>
        <w:rPr>
          <w:rFonts w:hint="eastAsia" w:ascii="宋体" w:hAnsi="宋体" w:eastAsia="宋体"/>
          <w:b/>
          <w:bCs/>
        </w:rPr>
        <w:t>慈善信托财产的管理</w:t>
      </w:r>
      <w:bookmarkEnd w:id="70"/>
      <w:bookmarkEnd w:id="71"/>
    </w:p>
    <w:p w14:paraId="7B051FC5">
      <w:pPr>
        <w:spacing w:before="156" w:beforeLines="50" w:after="156" w:afterLines="50" w:line="480" w:lineRule="exact"/>
        <w:ind w:firstLine="480" w:firstLineChars="200"/>
        <w:rPr>
          <w:rFonts w:ascii="宋体" w:hAnsi="宋体" w:eastAsia="宋体"/>
        </w:rPr>
      </w:pPr>
      <w:r>
        <w:rPr>
          <w:rFonts w:hint="eastAsia" w:ascii="宋体" w:hAnsi="宋体" w:eastAsia="宋体"/>
        </w:rPr>
        <w:t>第十三条</w:t>
      </w:r>
      <w:r>
        <w:rPr>
          <w:rFonts w:ascii="宋体" w:hAnsi="宋体" w:eastAsia="宋体"/>
        </w:rPr>
        <w:t xml:space="preserve"> 基金会管理和处分慈善信托财产，应当按照慈善信托目的，恪尽职守，履行诚信、谨慎管理的义务。</w:t>
      </w:r>
    </w:p>
    <w:p w14:paraId="0EA0C540">
      <w:pPr>
        <w:spacing w:before="156" w:beforeLines="50" w:after="156" w:afterLines="50" w:line="480" w:lineRule="exact"/>
        <w:ind w:firstLine="480" w:firstLineChars="200"/>
        <w:rPr>
          <w:rFonts w:ascii="宋体" w:hAnsi="宋体" w:eastAsia="宋体"/>
        </w:rPr>
      </w:pPr>
      <w:r>
        <w:rPr>
          <w:rFonts w:hint="eastAsia" w:ascii="宋体" w:hAnsi="宋体" w:eastAsia="宋体"/>
        </w:rPr>
        <w:t>第十四条</w:t>
      </w:r>
      <w:r>
        <w:rPr>
          <w:rFonts w:ascii="宋体" w:hAnsi="宋体" w:eastAsia="宋体"/>
        </w:rPr>
        <w:t xml:space="preserve"> </w:t>
      </w:r>
      <w:r>
        <w:rPr>
          <w:rFonts w:hint="eastAsia" w:ascii="宋体" w:hAnsi="宋体" w:eastAsia="宋体"/>
        </w:rPr>
        <w:t>信托公司除依法取得信托报酬外，不得利用慈善信托财产为自己谋取利益，不得私分、挪用、截留或者侵占慈善信托财产。</w:t>
      </w:r>
    </w:p>
    <w:p w14:paraId="48BBE551">
      <w:pPr>
        <w:spacing w:before="156" w:beforeLines="50" w:after="156" w:afterLines="50" w:line="480" w:lineRule="exact"/>
        <w:ind w:firstLine="480" w:firstLineChars="200"/>
        <w:rPr>
          <w:rFonts w:ascii="宋体" w:hAnsi="宋体" w:eastAsia="宋体"/>
        </w:rPr>
      </w:pPr>
      <w:r>
        <w:rPr>
          <w:rFonts w:hint="eastAsia" w:ascii="宋体" w:hAnsi="宋体" w:eastAsia="宋体"/>
        </w:rPr>
        <w:t>第十五条</w:t>
      </w:r>
      <w:r>
        <w:rPr>
          <w:rFonts w:ascii="宋体" w:hAnsi="宋体" w:eastAsia="宋体"/>
        </w:rPr>
        <w:t xml:space="preserve"> </w:t>
      </w:r>
      <w:r>
        <w:rPr>
          <w:rFonts w:hint="eastAsia" w:ascii="宋体" w:hAnsi="宋体" w:eastAsia="宋体"/>
        </w:rPr>
        <w:t>信托公司应当将慈善信托财产与自身固有财产相区别，</w:t>
      </w:r>
      <w:r>
        <w:rPr>
          <w:rFonts w:ascii="宋体" w:hAnsi="宋体" w:eastAsia="宋体"/>
        </w:rPr>
        <w:t>分别管理、分别记账</w:t>
      </w:r>
      <w:r>
        <w:rPr>
          <w:rFonts w:hint="eastAsia" w:ascii="宋体" w:hAnsi="宋体" w:eastAsia="宋体"/>
        </w:rPr>
        <w:t>，设立多个慈善信托的，应当</w:t>
      </w:r>
      <w:r>
        <w:rPr>
          <w:rFonts w:ascii="宋体" w:hAnsi="宋体" w:eastAsia="宋体"/>
        </w:rPr>
        <w:t>将不同慈善信托的财产分别管理、分别记账。</w:t>
      </w:r>
    </w:p>
    <w:p w14:paraId="6B592FB0">
      <w:pPr>
        <w:spacing w:before="156" w:beforeLines="50" w:after="156" w:afterLines="50" w:line="480" w:lineRule="exact"/>
        <w:ind w:firstLine="480" w:firstLineChars="200"/>
        <w:rPr>
          <w:rFonts w:ascii="宋体" w:hAnsi="宋体" w:eastAsia="宋体"/>
        </w:rPr>
      </w:pPr>
      <w:r>
        <w:rPr>
          <w:rFonts w:hint="eastAsia" w:ascii="宋体" w:hAnsi="宋体" w:eastAsia="宋体"/>
        </w:rPr>
        <w:t>第十六条</w:t>
      </w:r>
      <w:r>
        <w:rPr>
          <w:rFonts w:ascii="宋体" w:hAnsi="宋体" w:eastAsia="宋体"/>
        </w:rPr>
        <w:t xml:space="preserve"> </w:t>
      </w:r>
      <w:r>
        <w:rPr>
          <w:rFonts w:hint="eastAsia" w:ascii="宋体" w:hAnsi="宋体" w:eastAsia="宋体"/>
        </w:rPr>
        <w:t>基金会作为慈善信托的委托人，应当自行处理慈善信托事务，但信托文件另有规定或者有不得已事由的，可以委托他人代为处理。</w:t>
      </w:r>
    </w:p>
    <w:p w14:paraId="578755EB">
      <w:pPr>
        <w:spacing w:before="156" w:beforeLines="50" w:after="156" w:afterLines="50" w:line="480" w:lineRule="exact"/>
        <w:ind w:firstLine="480" w:firstLineChars="200"/>
        <w:rPr>
          <w:rFonts w:ascii="宋体" w:hAnsi="宋体" w:eastAsia="宋体"/>
        </w:rPr>
      </w:pPr>
      <w:r>
        <w:rPr>
          <w:rFonts w:hint="eastAsia" w:ascii="宋体" w:hAnsi="宋体" w:eastAsia="宋体"/>
        </w:rPr>
        <w:t>第十七条</w:t>
      </w:r>
      <w:r>
        <w:rPr>
          <w:rFonts w:ascii="宋体" w:hAnsi="宋体" w:eastAsia="宋体"/>
          <w:b/>
          <w:bCs/>
        </w:rPr>
        <w:t xml:space="preserve"> </w:t>
      </w:r>
      <w:r>
        <w:rPr>
          <w:rFonts w:hint="eastAsia" w:ascii="宋体" w:hAnsi="宋体" w:eastAsia="宋体"/>
        </w:rPr>
        <w:t>基金会依法将慈善信托事务委托他人代理的，应当对他人处理慈善信托事务的行为承担责任。基金会因依法将慈善信托事务委托他人代理而向他人支付的报酬，在其信托报酬中列支。</w:t>
      </w:r>
    </w:p>
    <w:p w14:paraId="7DF7F042">
      <w:pPr>
        <w:spacing w:before="156" w:beforeLines="50" w:after="156" w:afterLines="50" w:line="480" w:lineRule="exact"/>
        <w:ind w:firstLine="480" w:firstLineChars="200"/>
        <w:rPr>
          <w:rFonts w:ascii="宋体" w:hAnsi="宋体" w:eastAsia="宋体"/>
        </w:rPr>
      </w:pPr>
      <w:r>
        <w:rPr>
          <w:rFonts w:hint="eastAsia" w:ascii="宋体" w:hAnsi="宋体" w:eastAsia="宋体"/>
        </w:rPr>
        <w:t>第十八条</w:t>
      </w:r>
      <w:r>
        <w:rPr>
          <w:rFonts w:ascii="宋体" w:hAnsi="宋体" w:eastAsia="宋体"/>
        </w:rPr>
        <w:t xml:space="preserve">  </w:t>
      </w:r>
      <w:r>
        <w:rPr>
          <w:rFonts w:hint="eastAsia" w:ascii="宋体" w:hAnsi="宋体" w:eastAsia="宋体"/>
        </w:rPr>
        <w:t>基金会委托的信托公司设立慈善信托的，信托财产应当遵循合法、安全、有效的原则进行保值增值，为了保障慈善信托财产的安全，受托人原则上将信托财产运用于银行存款、政府债券、中央银行票据、金融债券和货币市场基金等低风险资产，但理事会另有规定的除外。</w:t>
      </w:r>
    </w:p>
    <w:p w14:paraId="2BC916A7">
      <w:pPr>
        <w:spacing w:before="156" w:beforeLines="50" w:after="156" w:afterLines="50" w:line="480" w:lineRule="exact"/>
        <w:ind w:firstLine="480" w:firstLineChars="200"/>
        <w:rPr>
          <w:rFonts w:ascii="宋体" w:hAnsi="宋体" w:eastAsia="宋体"/>
        </w:rPr>
      </w:pPr>
      <w:r>
        <w:rPr>
          <w:rFonts w:hint="eastAsia" w:ascii="宋体" w:hAnsi="宋体" w:eastAsia="宋体"/>
        </w:rPr>
        <w:t>基金会设立慈善信托项目的，在信托文件当中应当体现本条款。</w:t>
      </w:r>
    </w:p>
    <w:p w14:paraId="5C76D61D">
      <w:pPr>
        <w:spacing w:before="156" w:beforeLines="50" w:after="156" w:afterLines="50" w:line="480" w:lineRule="exact"/>
        <w:ind w:firstLine="480" w:firstLineChars="200"/>
        <w:rPr>
          <w:rFonts w:ascii="宋体" w:hAnsi="宋体" w:eastAsia="宋体"/>
        </w:rPr>
      </w:pPr>
      <w:r>
        <w:rPr>
          <w:rFonts w:hint="eastAsia" w:ascii="宋体" w:hAnsi="宋体" w:eastAsia="宋体"/>
        </w:rPr>
        <w:t>第十九条</w:t>
      </w:r>
      <w:r>
        <w:rPr>
          <w:rFonts w:ascii="宋体" w:hAnsi="宋体" w:eastAsia="宋体"/>
        </w:rPr>
        <w:t xml:space="preserve"> </w:t>
      </w:r>
      <w:r>
        <w:rPr>
          <w:rFonts w:hint="eastAsia" w:ascii="宋体" w:hAnsi="宋体" w:eastAsia="宋体"/>
        </w:rPr>
        <w:t>信托公司不</w:t>
      </w:r>
      <w:r>
        <w:rPr>
          <w:rFonts w:ascii="宋体" w:hAnsi="宋体" w:eastAsia="宋体"/>
        </w:rPr>
        <w:t>得将其固有财产与慈善信托财产进行交易或者将不同委托人的信托财产进行相互交易，但信托文件另有规定或者经</w:t>
      </w:r>
      <w:r>
        <w:rPr>
          <w:rFonts w:hint="eastAsia" w:ascii="宋体" w:hAnsi="宋体" w:eastAsia="宋体"/>
        </w:rPr>
        <w:t>基金会</w:t>
      </w:r>
      <w:r>
        <w:rPr>
          <w:rFonts w:ascii="宋体" w:hAnsi="宋体" w:eastAsia="宋体"/>
        </w:rPr>
        <w:t>同意，并以公平的市场价格进行交易的除外。</w:t>
      </w:r>
      <w:r>
        <w:rPr>
          <w:rFonts w:hint="eastAsia" w:ascii="宋体" w:hAnsi="宋体" w:eastAsia="宋体"/>
        </w:rPr>
        <w:t>在信托文件当中应当体现本条款。</w:t>
      </w:r>
    </w:p>
    <w:p w14:paraId="56010162">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第二十条</w:t>
      </w:r>
      <w:r>
        <w:rPr>
          <w:rFonts w:ascii="宋体" w:hAnsi="宋体" w:eastAsia="宋体"/>
        </w:rPr>
        <w:t xml:space="preserve"> </w:t>
      </w:r>
      <w:r>
        <w:rPr>
          <w:rFonts w:hint="eastAsia" w:ascii="宋体" w:hAnsi="宋体" w:eastAsia="宋体"/>
        </w:rPr>
        <w:t>信托公司应当根据信托文件和基金会的要求，及时向基金会报告慈善信托事务处理情况、信托财产管理使用情况。在信托文件当中应当体现本条款。</w:t>
      </w:r>
    </w:p>
    <w:p w14:paraId="7F9EE730">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第二十一条</w:t>
      </w:r>
      <w:r>
        <w:rPr>
          <w:rFonts w:ascii="宋体" w:hAnsi="宋体" w:eastAsia="宋体"/>
        </w:rPr>
        <w:t xml:space="preserve"> </w:t>
      </w:r>
      <w:r>
        <w:rPr>
          <w:rFonts w:hint="eastAsia" w:ascii="宋体" w:hAnsi="宋体" w:eastAsia="宋体"/>
        </w:rPr>
        <w:t>信托公司应当妥善保存管理慈善信托事务的全部资料，保存期自信托终止之日起不少于十五年。在信托文件当中应当体现本条款。</w:t>
      </w:r>
    </w:p>
    <w:p w14:paraId="0E180D6F">
      <w:pPr>
        <w:spacing w:before="156" w:beforeLines="50" w:after="156" w:afterLines="50" w:line="480" w:lineRule="exact"/>
        <w:jc w:val="center"/>
        <w:rPr>
          <w:rFonts w:ascii="宋体" w:hAnsi="宋体" w:eastAsia="宋体"/>
          <w:b/>
          <w:bCs/>
        </w:rPr>
      </w:pPr>
      <w:bookmarkStart w:id="72" w:name="_Toc2056842998_WPSOffice_Level1"/>
      <w:bookmarkStart w:id="73" w:name="_Toc33881837_WPSOffice_Level1"/>
      <w:r>
        <w:rPr>
          <w:rFonts w:hint="eastAsia" w:ascii="宋体" w:hAnsi="宋体" w:eastAsia="宋体"/>
          <w:b/>
          <w:bCs/>
        </w:rPr>
        <w:t>第四章</w:t>
      </w:r>
      <w:r>
        <w:rPr>
          <w:rFonts w:ascii="宋体" w:hAnsi="宋体" w:eastAsia="宋体"/>
          <w:b/>
          <w:bCs/>
        </w:rPr>
        <w:t xml:space="preserve">  </w:t>
      </w:r>
      <w:r>
        <w:rPr>
          <w:rFonts w:hint="eastAsia" w:ascii="宋体" w:hAnsi="宋体" w:eastAsia="宋体"/>
          <w:b/>
          <w:bCs/>
        </w:rPr>
        <w:t>慈善信托的变更和终止</w:t>
      </w:r>
      <w:bookmarkEnd w:id="72"/>
      <w:bookmarkEnd w:id="73"/>
    </w:p>
    <w:p w14:paraId="4BC80B81">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第二十二条</w:t>
      </w:r>
      <w:r>
        <w:rPr>
          <w:rFonts w:ascii="宋体" w:hAnsi="宋体" w:eastAsia="宋体"/>
        </w:rPr>
        <w:t xml:space="preserve"> </w:t>
      </w:r>
      <w:r>
        <w:rPr>
          <w:rFonts w:hint="eastAsia" w:ascii="宋体" w:hAnsi="宋体" w:eastAsia="宋体"/>
        </w:rPr>
        <w:t>基金会委托信托公司设立慈善信托时，信托公司</w:t>
      </w:r>
      <w:r>
        <w:rPr>
          <w:rFonts w:ascii="宋体" w:hAnsi="宋体" w:eastAsia="宋体"/>
        </w:rPr>
        <w:t>违反信托文件义务或者出现依法解散、法定资格丧失、被依法撤销、被宣告破产或者其他难以履行职责的情形时，</w:t>
      </w:r>
      <w:r>
        <w:rPr>
          <w:rFonts w:hint="eastAsia" w:ascii="宋体" w:hAnsi="宋体" w:eastAsia="宋体"/>
        </w:rPr>
        <w:t>基金会</w:t>
      </w:r>
      <w:r>
        <w:rPr>
          <w:rFonts w:ascii="宋体" w:hAnsi="宋体" w:eastAsia="宋体"/>
        </w:rPr>
        <w:t>可以变更受托人。</w:t>
      </w:r>
    </w:p>
    <w:p w14:paraId="546E25D5">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第二十三条</w:t>
      </w:r>
      <w:r>
        <w:rPr>
          <w:rFonts w:ascii="宋体" w:hAnsi="宋体" w:eastAsia="宋体"/>
        </w:rPr>
        <w:t xml:space="preserve">  </w:t>
      </w:r>
      <w:r>
        <w:rPr>
          <w:rFonts w:hint="eastAsia" w:ascii="宋体" w:hAnsi="宋体" w:eastAsia="宋体"/>
        </w:rPr>
        <w:t>根据信托文件约定或者经基金会理事会批准，可以变更以下事项：</w:t>
      </w:r>
    </w:p>
    <w:p w14:paraId="20AE51A5">
      <w:pPr>
        <w:spacing w:before="156" w:beforeLines="50" w:after="156" w:afterLines="50" w:line="480" w:lineRule="exact"/>
        <w:ind w:firstLine="480" w:firstLineChars="200"/>
        <w:rPr>
          <w:rFonts w:ascii="宋体" w:hAnsi="宋体" w:eastAsia="宋体"/>
        </w:rPr>
      </w:pPr>
      <w:r>
        <w:rPr>
          <w:rFonts w:hint="eastAsia" w:ascii="宋体" w:hAnsi="宋体" w:eastAsia="宋体"/>
        </w:rPr>
        <w:t>（一）增加新的委托人；</w:t>
      </w:r>
    </w:p>
    <w:p w14:paraId="5A7EE4AE">
      <w:pPr>
        <w:spacing w:before="156" w:beforeLines="50" w:after="156" w:afterLines="50" w:line="480" w:lineRule="exact"/>
        <w:ind w:firstLine="480" w:firstLineChars="200"/>
        <w:rPr>
          <w:rFonts w:ascii="宋体" w:hAnsi="宋体" w:eastAsia="宋体"/>
        </w:rPr>
      </w:pPr>
      <w:r>
        <w:rPr>
          <w:rFonts w:hint="eastAsia" w:ascii="宋体" w:hAnsi="宋体" w:eastAsia="宋体"/>
        </w:rPr>
        <w:t>（二）增加信托财产；</w:t>
      </w:r>
    </w:p>
    <w:p w14:paraId="5117DAD3">
      <w:pPr>
        <w:spacing w:before="156" w:beforeLines="50" w:after="156" w:afterLines="50" w:line="480" w:lineRule="exact"/>
        <w:ind w:firstLine="480" w:firstLineChars="200"/>
        <w:rPr>
          <w:rFonts w:ascii="宋体" w:hAnsi="宋体" w:eastAsia="宋体"/>
        </w:rPr>
      </w:pPr>
      <w:r>
        <w:rPr>
          <w:rFonts w:hint="eastAsia" w:ascii="宋体" w:hAnsi="宋体" w:eastAsia="宋体"/>
        </w:rPr>
        <w:t>（三）变更信托受益人范围及选定的程序和方法；</w:t>
      </w:r>
    </w:p>
    <w:p w14:paraId="1B32B4E9">
      <w:pPr>
        <w:spacing w:before="156" w:beforeLines="50" w:after="156" w:afterLines="50" w:line="480" w:lineRule="exact"/>
        <w:ind w:firstLine="480" w:firstLineChars="200"/>
        <w:rPr>
          <w:rFonts w:ascii="宋体" w:hAnsi="宋体" w:eastAsia="宋体"/>
        </w:rPr>
      </w:pPr>
      <w:r>
        <w:rPr>
          <w:rFonts w:hint="eastAsia" w:ascii="宋体" w:hAnsi="宋体" w:eastAsia="宋体"/>
        </w:rPr>
        <w:t>（四）民政部和国务院银行业监督管理机构规定的其他情形。</w:t>
      </w:r>
    </w:p>
    <w:p w14:paraId="03530379">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第二十四条</w:t>
      </w:r>
      <w:r>
        <w:rPr>
          <w:rFonts w:ascii="宋体" w:hAnsi="宋体" w:eastAsia="宋体"/>
        </w:rPr>
        <w:t xml:space="preserve">  </w:t>
      </w:r>
      <w:r>
        <w:rPr>
          <w:rFonts w:hint="eastAsia" w:ascii="宋体" w:hAnsi="宋体" w:eastAsia="宋体"/>
        </w:rPr>
        <w:t>有下列情形之一的，慈善信托终止：</w:t>
      </w:r>
    </w:p>
    <w:p w14:paraId="22B8EE9C">
      <w:pPr>
        <w:spacing w:before="156" w:beforeLines="50" w:after="156" w:afterLines="50" w:line="480" w:lineRule="exact"/>
        <w:ind w:firstLine="480" w:firstLineChars="200"/>
        <w:rPr>
          <w:rFonts w:ascii="宋体" w:hAnsi="宋体" w:eastAsia="宋体"/>
        </w:rPr>
      </w:pPr>
      <w:r>
        <w:rPr>
          <w:rFonts w:hint="eastAsia" w:ascii="宋体" w:hAnsi="宋体" w:eastAsia="宋体"/>
        </w:rPr>
        <w:t>（一）信托文件规定的终止事由出现；</w:t>
      </w:r>
    </w:p>
    <w:p w14:paraId="2BA68C40">
      <w:pPr>
        <w:spacing w:before="156" w:beforeLines="50" w:after="156" w:afterLines="50" w:line="480" w:lineRule="exact"/>
        <w:ind w:firstLine="480" w:firstLineChars="200"/>
        <w:rPr>
          <w:rFonts w:ascii="宋体" w:hAnsi="宋体" w:eastAsia="宋体"/>
        </w:rPr>
      </w:pPr>
      <w:r>
        <w:rPr>
          <w:rFonts w:hint="eastAsia" w:ascii="宋体" w:hAnsi="宋体" w:eastAsia="宋体"/>
        </w:rPr>
        <w:t>（二）信托的存续违反信托目的；</w:t>
      </w:r>
    </w:p>
    <w:p w14:paraId="2F5F38DC">
      <w:pPr>
        <w:spacing w:before="156" w:beforeLines="50" w:after="156" w:afterLines="50" w:line="480" w:lineRule="exact"/>
        <w:ind w:firstLine="480" w:firstLineChars="200"/>
        <w:rPr>
          <w:rFonts w:ascii="宋体" w:hAnsi="宋体" w:eastAsia="宋体"/>
        </w:rPr>
      </w:pPr>
      <w:r>
        <w:rPr>
          <w:rFonts w:hint="eastAsia" w:ascii="宋体" w:hAnsi="宋体" w:eastAsia="宋体"/>
        </w:rPr>
        <w:t>（三）信托目的已经实现或者不能实现；</w:t>
      </w:r>
    </w:p>
    <w:p w14:paraId="73151FF1">
      <w:pPr>
        <w:spacing w:before="156" w:beforeLines="50" w:after="156" w:afterLines="50" w:line="480" w:lineRule="exact"/>
        <w:ind w:firstLine="480" w:firstLineChars="200"/>
        <w:rPr>
          <w:rFonts w:ascii="宋体" w:hAnsi="宋体" w:eastAsia="宋体"/>
        </w:rPr>
      </w:pPr>
      <w:r>
        <w:rPr>
          <w:rFonts w:hint="eastAsia" w:ascii="宋体" w:hAnsi="宋体" w:eastAsia="宋体"/>
        </w:rPr>
        <w:t>（四）信托当事人协商同意；</w:t>
      </w:r>
    </w:p>
    <w:p w14:paraId="0C776075">
      <w:pPr>
        <w:spacing w:before="156" w:beforeLines="50" w:after="156" w:afterLines="50" w:line="480" w:lineRule="exact"/>
        <w:ind w:firstLine="480" w:firstLineChars="200"/>
        <w:rPr>
          <w:rFonts w:ascii="宋体" w:hAnsi="宋体" w:eastAsia="宋体"/>
        </w:rPr>
      </w:pPr>
      <w:r>
        <w:rPr>
          <w:rFonts w:hint="eastAsia" w:ascii="宋体" w:hAnsi="宋体" w:eastAsia="宋体"/>
        </w:rPr>
        <w:t>（五）信托被撤销；</w:t>
      </w:r>
    </w:p>
    <w:p w14:paraId="5ABC1E60">
      <w:pPr>
        <w:spacing w:before="156" w:beforeLines="50" w:after="156" w:afterLines="50" w:line="480" w:lineRule="exact"/>
        <w:ind w:firstLine="480" w:firstLineChars="200"/>
        <w:rPr>
          <w:rFonts w:ascii="宋体" w:hAnsi="宋体" w:eastAsia="宋体"/>
        </w:rPr>
      </w:pPr>
      <w:r>
        <w:rPr>
          <w:rFonts w:hint="eastAsia" w:ascii="宋体" w:hAnsi="宋体" w:eastAsia="宋体"/>
        </w:rPr>
        <w:t>（六）信托被解除。</w:t>
      </w:r>
    </w:p>
    <w:p w14:paraId="7DE639B7">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第二十五条</w:t>
      </w:r>
      <w:r>
        <w:rPr>
          <w:rFonts w:ascii="宋体" w:hAnsi="宋体" w:eastAsia="宋体"/>
        </w:rPr>
        <w:t xml:space="preserve"> 自慈善信托终止事由发生之日起15日内</w:t>
      </w:r>
      <w:r>
        <w:rPr>
          <w:rFonts w:hint="eastAsia" w:ascii="宋体" w:hAnsi="宋体" w:eastAsia="宋体"/>
        </w:rPr>
        <w:t>，</w:t>
      </w:r>
      <w:r>
        <w:rPr>
          <w:rFonts w:ascii="宋体" w:hAnsi="宋体" w:eastAsia="宋体"/>
        </w:rPr>
        <w:t>应当将终止事由、日期、剩余信托财产处分方案和有关情况报告</w:t>
      </w:r>
      <w:r>
        <w:rPr>
          <w:rFonts w:hint="eastAsia" w:ascii="宋体" w:hAnsi="宋体" w:eastAsia="宋体"/>
        </w:rPr>
        <w:t>北京市民政局</w:t>
      </w:r>
      <w:r>
        <w:rPr>
          <w:rFonts w:ascii="宋体" w:hAnsi="宋体" w:eastAsia="宋体"/>
        </w:rPr>
        <w:t>。</w:t>
      </w:r>
    </w:p>
    <w:p w14:paraId="04411074">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第二十六条</w:t>
      </w:r>
      <w:r>
        <w:rPr>
          <w:rFonts w:ascii="宋体" w:hAnsi="宋体" w:eastAsia="宋体"/>
        </w:rPr>
        <w:t xml:space="preserve"> 慈善信托终止的，应当在30日内作出处理慈善信托事务的清算报告，向</w:t>
      </w:r>
      <w:r>
        <w:rPr>
          <w:rFonts w:hint="eastAsia" w:ascii="宋体" w:hAnsi="宋体" w:eastAsia="宋体"/>
        </w:rPr>
        <w:t>北京市民政局</w:t>
      </w:r>
      <w:r>
        <w:rPr>
          <w:rFonts w:ascii="宋体" w:hAnsi="宋体" w:eastAsia="宋体"/>
        </w:rPr>
        <w:t>报告后，由</w:t>
      </w:r>
      <w:r>
        <w:rPr>
          <w:rFonts w:hint="eastAsia" w:ascii="宋体" w:hAnsi="宋体" w:eastAsia="宋体"/>
        </w:rPr>
        <w:t>基金会</w:t>
      </w:r>
      <w:r>
        <w:rPr>
          <w:rFonts w:ascii="宋体" w:hAnsi="宋体" w:eastAsia="宋体"/>
        </w:rPr>
        <w:t>予以公告。</w:t>
      </w:r>
      <w:r>
        <w:rPr>
          <w:rFonts w:hint="eastAsia" w:ascii="宋体" w:hAnsi="宋体" w:eastAsia="宋体"/>
        </w:rPr>
        <w:t>慈善信托若设置信托监察人，清算报告应事先经监察人认可。</w:t>
      </w:r>
    </w:p>
    <w:p w14:paraId="4F20E611">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第二十七条</w:t>
      </w:r>
      <w:r>
        <w:rPr>
          <w:rFonts w:ascii="宋体" w:hAnsi="宋体" w:eastAsia="宋体"/>
        </w:rPr>
        <w:t xml:space="preserve"> 慈善信托终止，没有信托财产权利归属人或者信托财产权利归属人是不特定的社会公众，经备案的民政部门批准，</w:t>
      </w:r>
      <w:r>
        <w:rPr>
          <w:rFonts w:hint="eastAsia" w:ascii="宋体" w:hAnsi="宋体" w:eastAsia="宋体"/>
        </w:rPr>
        <w:t>基金会</w:t>
      </w:r>
      <w:r>
        <w:rPr>
          <w:rFonts w:ascii="宋体" w:hAnsi="宋体" w:eastAsia="宋体"/>
        </w:rPr>
        <w:t>应当将信托财产用于与原慈善目的相近似的目的，或者将信托财产转移给具有近似目的的其他慈善信托或者慈善组织。</w:t>
      </w:r>
    </w:p>
    <w:p w14:paraId="3C26EF4B">
      <w:pPr>
        <w:spacing w:before="156" w:beforeLines="50" w:after="156" w:afterLines="50" w:line="480" w:lineRule="exact"/>
        <w:jc w:val="center"/>
        <w:rPr>
          <w:rFonts w:ascii="宋体" w:hAnsi="宋体" w:eastAsia="宋体"/>
          <w:b/>
          <w:bCs/>
        </w:rPr>
      </w:pPr>
      <w:bookmarkStart w:id="74" w:name="_Toc368868004_WPSOffice_Level1"/>
      <w:bookmarkStart w:id="75" w:name="_Toc1316001627_WPSOffice_Level1"/>
      <w:r>
        <w:rPr>
          <w:rFonts w:hint="eastAsia" w:ascii="宋体" w:hAnsi="宋体" w:eastAsia="宋体"/>
          <w:b/>
          <w:bCs/>
        </w:rPr>
        <w:t>第五章</w:t>
      </w:r>
      <w:r>
        <w:rPr>
          <w:rFonts w:ascii="宋体" w:hAnsi="宋体" w:eastAsia="宋体"/>
          <w:b/>
          <w:bCs/>
        </w:rPr>
        <w:t xml:space="preserve">  </w:t>
      </w:r>
      <w:r>
        <w:rPr>
          <w:rFonts w:hint="eastAsia" w:ascii="宋体" w:hAnsi="宋体" w:eastAsia="宋体"/>
          <w:b/>
          <w:bCs/>
        </w:rPr>
        <w:t>慈善信托的信息公开</w:t>
      </w:r>
      <w:bookmarkEnd w:id="74"/>
      <w:bookmarkEnd w:id="75"/>
    </w:p>
    <w:p w14:paraId="3CB6F746">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第二十八条</w:t>
      </w:r>
      <w:r>
        <w:rPr>
          <w:rFonts w:ascii="宋体" w:hAnsi="宋体" w:eastAsia="宋体"/>
        </w:rPr>
        <w:t xml:space="preserve"> </w:t>
      </w:r>
      <w:r>
        <w:rPr>
          <w:rFonts w:hint="eastAsia" w:ascii="宋体" w:hAnsi="宋体" w:eastAsia="宋体"/>
        </w:rPr>
        <w:t>基金会设立慈善信托应当依法履行信息公开义务。信息公开应当真实、完整、及时，不得有虚假记载、误导性陈述或者重大遗漏。</w:t>
      </w:r>
    </w:p>
    <w:p w14:paraId="523908E7">
      <w:pPr>
        <w:spacing w:before="156" w:beforeLines="50" w:after="156" w:afterLines="50" w:line="480" w:lineRule="exact"/>
        <w:ind w:firstLine="480" w:firstLineChars="200"/>
        <w:rPr>
          <w:rFonts w:ascii="宋体" w:hAnsi="宋体" w:eastAsia="宋体"/>
        </w:rPr>
      </w:pPr>
      <w:r>
        <w:rPr>
          <w:rFonts w:hint="eastAsia" w:ascii="宋体" w:hAnsi="宋体" w:eastAsia="宋体"/>
        </w:rPr>
        <w:t>第二十九条</w:t>
      </w:r>
      <w:r>
        <w:rPr>
          <w:rFonts w:ascii="宋体" w:hAnsi="宋体" w:eastAsia="宋体"/>
        </w:rPr>
        <w:t xml:space="preserve"> 基金会建立慈善信托信息公开管理制度，并指</w:t>
      </w:r>
      <w:r>
        <w:rPr>
          <w:rFonts w:hint="eastAsia" w:ascii="宋体" w:hAnsi="宋体" w:eastAsia="宋体"/>
        </w:rPr>
        <w:t>慈善信托管理委员会专门负责慈善信托公开的具体事务。</w:t>
      </w:r>
    </w:p>
    <w:p w14:paraId="711762E7">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第三十条</w:t>
      </w:r>
      <w:r>
        <w:rPr>
          <w:rFonts w:ascii="宋体" w:hAnsi="宋体" w:eastAsia="宋体"/>
        </w:rPr>
        <w:t xml:space="preserve"> 信息公开应当在</w:t>
      </w:r>
      <w:r>
        <w:rPr>
          <w:rFonts w:hint="eastAsia" w:ascii="宋体" w:hAnsi="宋体" w:eastAsia="宋体"/>
        </w:rPr>
        <w:t>慈善中国平台依法进行，不得以新闻发布、广告推广等形式代替。</w:t>
      </w:r>
    </w:p>
    <w:p w14:paraId="293A21B8">
      <w:pPr>
        <w:spacing w:before="156" w:beforeLines="50" w:after="156" w:afterLines="50" w:line="480" w:lineRule="exact"/>
        <w:ind w:firstLine="480" w:firstLineChars="200"/>
        <w:rPr>
          <w:rFonts w:ascii="宋体" w:hAnsi="宋体" w:eastAsia="宋体"/>
        </w:rPr>
      </w:pPr>
      <w:r>
        <w:rPr>
          <w:rFonts w:hint="eastAsia" w:ascii="宋体" w:hAnsi="宋体" w:eastAsia="宋体"/>
        </w:rPr>
        <w:t>基金会在其他渠道公布的信息，应当与在统一信息平台公布的信息一致。</w:t>
      </w:r>
    </w:p>
    <w:p w14:paraId="362C559A">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第三十一条</w:t>
      </w:r>
      <w:r>
        <w:rPr>
          <w:rFonts w:ascii="宋体" w:hAnsi="宋体" w:eastAsia="宋体"/>
        </w:rPr>
        <w:t xml:space="preserve">  </w:t>
      </w:r>
      <w:r>
        <w:rPr>
          <w:rFonts w:hint="eastAsia" w:ascii="宋体" w:hAnsi="宋体" w:eastAsia="宋体"/>
        </w:rPr>
        <w:t>涉及国家秘密、商业秘密、个人隐私的信息以及慈善信托的委托人不同意公开的姓名、名称、住所、通讯方式等信息，慈善信托受托人不得公开。</w:t>
      </w:r>
    </w:p>
    <w:p w14:paraId="5DDCD2E7">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第三十二条</w:t>
      </w:r>
      <w:r>
        <w:rPr>
          <w:rFonts w:ascii="宋体" w:hAnsi="宋体" w:eastAsia="宋体"/>
        </w:rPr>
        <w:t xml:space="preserve"> </w:t>
      </w:r>
      <w:r>
        <w:rPr>
          <w:rFonts w:hint="eastAsia" w:ascii="宋体" w:hAnsi="宋体" w:eastAsia="宋体"/>
        </w:rPr>
        <w:t>慈善信托进行设立备案的，信托公司应当自收到备案回执之日起</w:t>
      </w:r>
      <w:r>
        <w:rPr>
          <w:rFonts w:ascii="宋体" w:hAnsi="宋体" w:eastAsia="宋体"/>
        </w:rPr>
        <w:t>7日内，在统一信息平台公开慈善信托设立情况说明</w:t>
      </w:r>
      <w:r>
        <w:rPr>
          <w:rFonts w:hint="eastAsia" w:ascii="宋体" w:hAnsi="宋体" w:eastAsia="宋体"/>
        </w:rPr>
        <w:t>。</w:t>
      </w:r>
    </w:p>
    <w:p w14:paraId="7B93DF93">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第三十三条</w:t>
      </w:r>
      <w:r>
        <w:rPr>
          <w:rFonts w:ascii="宋体" w:hAnsi="宋体" w:eastAsia="宋体"/>
        </w:rPr>
        <w:t xml:space="preserve"> 慈善信托发生变更的，</w:t>
      </w:r>
      <w:r>
        <w:rPr>
          <w:rFonts w:hint="eastAsia" w:ascii="宋体" w:hAnsi="宋体" w:eastAsia="宋体"/>
        </w:rPr>
        <w:t>信托公司应当自收到备案回执之日起</w:t>
      </w:r>
      <w:r>
        <w:rPr>
          <w:rFonts w:ascii="宋体" w:hAnsi="宋体" w:eastAsia="宋体"/>
        </w:rPr>
        <w:t>7日内，在统一信息平台公开慈善信托变更备案事项</w:t>
      </w:r>
      <w:r>
        <w:rPr>
          <w:rFonts w:hint="eastAsia" w:ascii="宋体" w:hAnsi="宋体" w:eastAsia="宋体"/>
        </w:rPr>
        <w:t>。</w:t>
      </w:r>
    </w:p>
    <w:p w14:paraId="72F50DAD">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第三十四条</w:t>
      </w:r>
      <w:r>
        <w:rPr>
          <w:rFonts w:ascii="宋体" w:hAnsi="宋体" w:eastAsia="宋体"/>
        </w:rPr>
        <w:t xml:space="preserve"> </w:t>
      </w:r>
      <w:r>
        <w:rPr>
          <w:rFonts w:hint="eastAsia" w:ascii="宋体" w:hAnsi="宋体" w:eastAsia="宋体"/>
        </w:rPr>
        <w:t>信托公司应当于每年</w:t>
      </w:r>
      <w:r>
        <w:rPr>
          <w:rFonts w:ascii="宋体" w:hAnsi="宋体" w:eastAsia="宋体"/>
        </w:rPr>
        <w:t>3月31日前向备案的民政部门报送慈善信托事务处理情况和慈善信托财产状况的年度报告</w:t>
      </w:r>
      <w:r>
        <w:rPr>
          <w:rFonts w:hint="eastAsia" w:ascii="宋体" w:hAnsi="宋体" w:eastAsia="宋体"/>
        </w:rPr>
        <w:t>，并在提交年度报告之日起</w:t>
      </w:r>
      <w:r>
        <w:rPr>
          <w:rFonts w:ascii="宋体" w:hAnsi="宋体" w:eastAsia="宋体"/>
        </w:rPr>
        <w:t>30日内，将年度报告在统一信息平台公开。</w:t>
      </w:r>
    </w:p>
    <w:p w14:paraId="3E1A88AE">
      <w:pPr>
        <w:spacing w:before="156" w:beforeLines="50" w:after="156" w:afterLines="50" w:line="480" w:lineRule="exact"/>
        <w:ind w:firstLine="480" w:firstLineChars="200"/>
        <w:rPr>
          <w:rFonts w:ascii="宋体" w:hAnsi="宋体" w:eastAsia="宋体"/>
        </w:rPr>
      </w:pPr>
      <w:r>
        <w:rPr>
          <w:rFonts w:hint="eastAsia" w:ascii="宋体" w:hAnsi="宋体" w:eastAsia="宋体"/>
        </w:rPr>
        <w:t>信托公司及其管理人员有关关联交易情况和其他关联交易情况应当在年度报告中向社会公开。</w:t>
      </w:r>
    </w:p>
    <w:p w14:paraId="1AFA452B">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第三十五条</w:t>
      </w:r>
      <w:r>
        <w:rPr>
          <w:rFonts w:ascii="宋体" w:hAnsi="宋体" w:eastAsia="宋体"/>
        </w:rPr>
        <w:t xml:space="preserve"> 慈善信托终止的，</w:t>
      </w:r>
      <w:r>
        <w:rPr>
          <w:rFonts w:hint="eastAsia" w:ascii="宋体" w:hAnsi="宋体" w:eastAsia="宋体"/>
        </w:rPr>
        <w:t>信托公司应当自将处理慈善信托事务的清算报告向备案的民政部门报告之日起</w:t>
      </w:r>
      <w:r>
        <w:rPr>
          <w:rFonts w:ascii="宋体" w:hAnsi="宋体" w:eastAsia="宋体"/>
        </w:rPr>
        <w:t>30日内，在统一信息平台公开清算报告。</w:t>
      </w:r>
    </w:p>
    <w:p w14:paraId="0E3C40D1">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第三十六条</w:t>
      </w:r>
      <w:r>
        <w:rPr>
          <w:rFonts w:ascii="宋体" w:hAnsi="宋体" w:eastAsia="宋体"/>
        </w:rPr>
        <w:t xml:space="preserve">  </w:t>
      </w:r>
      <w:r>
        <w:rPr>
          <w:rFonts w:hint="eastAsia" w:ascii="宋体" w:hAnsi="宋体" w:eastAsia="宋体"/>
        </w:rPr>
        <w:t>基金会的理事或慈善信托的管理人员违反相关法律法规和本制度的规定，致使基金会对外承担民事责任、行政责任或刑事责任的，基金会有权对相关责任人员进行追偿，并保留追究相关责任人员赔偿责任的权利。</w:t>
      </w:r>
    </w:p>
    <w:p w14:paraId="388F3C43">
      <w:pPr>
        <w:spacing w:before="156" w:beforeLines="50" w:after="156" w:afterLines="50" w:line="480" w:lineRule="exact"/>
        <w:jc w:val="center"/>
        <w:rPr>
          <w:rFonts w:ascii="宋体" w:hAnsi="宋体" w:eastAsia="宋体"/>
          <w:b/>
          <w:bCs/>
          <w:sz w:val="28"/>
          <w:szCs w:val="28"/>
        </w:rPr>
      </w:pPr>
      <w:bookmarkStart w:id="76" w:name="_Toc1105264536_WPSOffice_Level1"/>
      <w:bookmarkStart w:id="77" w:name="_Toc1926737986_WPSOffice_Level1"/>
      <w:r>
        <w:rPr>
          <w:rFonts w:hint="eastAsia" w:ascii="宋体" w:hAnsi="宋体" w:eastAsia="宋体"/>
          <w:b/>
          <w:bCs/>
          <w:sz w:val="28"/>
          <w:szCs w:val="28"/>
        </w:rPr>
        <w:t>第六章</w:t>
      </w:r>
      <w:r>
        <w:rPr>
          <w:rFonts w:ascii="宋体" w:hAnsi="宋体" w:eastAsia="宋体"/>
          <w:b/>
          <w:bCs/>
          <w:sz w:val="28"/>
          <w:szCs w:val="28"/>
        </w:rPr>
        <w:t xml:space="preserve">  </w:t>
      </w:r>
      <w:r>
        <w:rPr>
          <w:rFonts w:hint="eastAsia" w:ascii="宋体" w:hAnsi="宋体" w:eastAsia="宋体"/>
          <w:b/>
          <w:bCs/>
          <w:sz w:val="28"/>
          <w:szCs w:val="28"/>
        </w:rPr>
        <w:t>附则</w:t>
      </w:r>
      <w:bookmarkEnd w:id="76"/>
      <w:bookmarkEnd w:id="77"/>
    </w:p>
    <w:p w14:paraId="6A07A1DE">
      <w:pPr>
        <w:spacing w:before="156" w:beforeLines="50" w:after="156" w:afterLines="50" w:line="480" w:lineRule="exact"/>
        <w:ind w:firstLine="480" w:firstLineChars="200"/>
        <w:rPr>
          <w:rFonts w:ascii="宋体" w:hAnsi="宋体" w:eastAsia="宋体"/>
        </w:rPr>
      </w:pPr>
      <w:r>
        <w:rPr>
          <w:rFonts w:hint="eastAsia" w:ascii="宋体" w:hAnsi="宋体" w:eastAsia="宋体"/>
        </w:rPr>
        <w:t>第三十七条</w:t>
      </w:r>
      <w:r>
        <w:rPr>
          <w:rFonts w:ascii="宋体" w:hAnsi="宋体" w:eastAsia="宋体"/>
        </w:rPr>
        <w:t xml:space="preserve">  </w:t>
      </w:r>
      <w:r>
        <w:rPr>
          <w:rFonts w:hint="eastAsia" w:ascii="宋体" w:hAnsi="宋体" w:eastAsia="宋体"/>
        </w:rPr>
        <w:t>本制度由</w:t>
      </w:r>
      <w:r>
        <w:rPr>
          <w:rFonts w:ascii="宋体" w:hAnsi="宋体" w:eastAsia="宋体"/>
        </w:rPr>
        <w:t>北京中致儿童关爱</w:t>
      </w:r>
      <w:r>
        <w:rPr>
          <w:rFonts w:hint="eastAsia" w:ascii="宋体" w:hAnsi="宋体" w:eastAsia="宋体"/>
        </w:rPr>
        <w:t>基</w:t>
      </w:r>
      <w:r>
        <w:rPr>
          <w:rFonts w:ascii="宋体" w:hAnsi="宋体" w:eastAsia="宋体"/>
        </w:rPr>
        <w:t>金</w:t>
      </w:r>
      <w:r>
        <w:rPr>
          <w:rFonts w:hint="eastAsia" w:ascii="宋体" w:hAnsi="宋体" w:eastAsia="宋体"/>
        </w:rPr>
        <w:t>理事会</w:t>
      </w:r>
      <w:r>
        <w:rPr>
          <w:rFonts w:ascii="宋体" w:hAnsi="宋体" w:eastAsia="宋体"/>
        </w:rPr>
        <w:t>表决通过，由理事会</w:t>
      </w:r>
      <w:r>
        <w:rPr>
          <w:rFonts w:hint="eastAsia" w:ascii="宋体" w:hAnsi="宋体" w:eastAsia="宋体"/>
        </w:rPr>
        <w:t>负责解释</w:t>
      </w:r>
      <w:r>
        <w:rPr>
          <w:rFonts w:ascii="宋体" w:hAnsi="宋体" w:eastAsia="宋体"/>
        </w:rPr>
        <w:t>并执行</w:t>
      </w:r>
      <w:r>
        <w:rPr>
          <w:rFonts w:hint="eastAsia" w:ascii="宋体" w:hAnsi="宋体" w:eastAsia="宋体"/>
        </w:rPr>
        <w:t>。</w:t>
      </w:r>
    </w:p>
    <w:p w14:paraId="41D99F16">
      <w:pPr>
        <w:spacing w:before="156" w:beforeLines="50" w:after="156" w:afterLines="50" w:line="480" w:lineRule="exact"/>
        <w:ind w:firstLine="480" w:firstLineChars="200"/>
        <w:rPr>
          <w:rFonts w:ascii="宋体" w:hAnsi="宋体" w:eastAsia="宋体"/>
        </w:rPr>
      </w:pPr>
    </w:p>
    <w:p w14:paraId="54B8D5E0">
      <w:r>
        <w:br w:type="page"/>
      </w:r>
    </w:p>
    <w:p w14:paraId="51F1C5C5">
      <w:pPr>
        <w:pStyle w:val="2"/>
      </w:pPr>
      <w:bookmarkStart w:id="78" w:name="_Toc113900132"/>
      <w:bookmarkStart w:id="79" w:name="_Toc2041464462"/>
      <w:bookmarkStart w:id="80" w:name="_Toc447510002_WPSOffice_Level1"/>
      <w:r>
        <w:t>北京中致儿童关爱</w:t>
      </w:r>
      <w:r>
        <w:rPr>
          <w:rFonts w:hint="eastAsia"/>
        </w:rPr>
        <w:t>基金会</w:t>
      </w:r>
      <w:bookmarkEnd w:id="78"/>
      <w:bookmarkEnd w:id="79"/>
      <w:bookmarkEnd w:id="80"/>
    </w:p>
    <w:p w14:paraId="433CF6C6">
      <w:pPr>
        <w:pStyle w:val="2"/>
      </w:pPr>
      <w:bookmarkStart w:id="81" w:name="_Toc812871820_WPSOffice_Level1"/>
      <w:bookmarkStart w:id="82" w:name="_Toc546984715"/>
      <w:bookmarkStart w:id="83" w:name="_Toc911589047"/>
      <w:bookmarkStart w:id="84" w:name="_Toc21171623_WPSOffice_Level1"/>
      <w:r>
        <w:rPr>
          <w:rFonts w:hint="eastAsia"/>
        </w:rPr>
        <w:t>理事会制度</w:t>
      </w:r>
      <w:bookmarkEnd w:id="81"/>
      <w:bookmarkEnd w:id="82"/>
      <w:bookmarkEnd w:id="83"/>
      <w:bookmarkEnd w:id="84"/>
    </w:p>
    <w:p w14:paraId="14D3EC77">
      <w:pPr>
        <w:pStyle w:val="15"/>
        <w:shd w:val="clear" w:color="auto" w:fill="FFFFFF"/>
        <w:spacing w:before="156" w:beforeLines="50" w:beforeAutospacing="0" w:after="156" w:afterLines="50" w:afterAutospacing="0" w:line="480" w:lineRule="exact"/>
        <w:jc w:val="center"/>
        <w:rPr>
          <w:rFonts w:ascii="宋体" w:hAnsi="宋体" w:eastAsia="宋体"/>
          <w:color w:val="000000" w:themeColor="text1"/>
          <w:sz w:val="24"/>
          <w:szCs w:val="24"/>
          <w14:textFill>
            <w14:solidFill>
              <w14:schemeClr w14:val="tx1"/>
            </w14:solidFill>
          </w14:textFill>
        </w:rPr>
      </w:pPr>
      <w:bookmarkStart w:id="85" w:name="_Toc1793200173_WPSOffice_Level1"/>
      <w:bookmarkStart w:id="86" w:name="_Toc1496666006_WPSOffice_Level1"/>
      <w:r>
        <w:rPr>
          <w:rStyle w:val="20"/>
          <w:rFonts w:hint="eastAsia" w:ascii="宋体" w:hAnsi="宋体" w:eastAsia="宋体"/>
          <w:color w:val="000000" w:themeColor="text1"/>
          <w:sz w:val="24"/>
          <w:szCs w:val="24"/>
          <w14:textFill>
            <w14:solidFill>
              <w14:schemeClr w14:val="tx1"/>
            </w14:solidFill>
          </w14:textFill>
        </w:rPr>
        <w:t>第一章  总 则</w:t>
      </w:r>
      <w:bookmarkEnd w:id="85"/>
      <w:bookmarkEnd w:id="86"/>
    </w:p>
    <w:p w14:paraId="21233F3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第一条 为规范本基金会理事会的组建方式、决策程序和管理行为，保证理事会依法行使职权、履行职责，根据《基金会管理条例》《民政部关于印发&lt;关于规范基金会行为的若干规定（试行）&gt;的通知》等规定和本基金会章程，结合实际，制定本制度。</w:t>
      </w:r>
    </w:p>
    <w:p w14:paraId="603DCED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第二条 理事会是基金会的决策机构，依法履行章程赋予的职权职责，保障基金会的健康发展。</w:t>
      </w:r>
    </w:p>
    <w:p w14:paraId="3E35EDF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第三条 基金会实行理事会领导下的理事长负责制。</w:t>
      </w:r>
    </w:p>
    <w:p w14:paraId="35F71C56">
      <w:pPr>
        <w:pStyle w:val="15"/>
        <w:shd w:val="clear" w:color="auto" w:fill="FFFFFF"/>
        <w:spacing w:before="156" w:beforeLines="50" w:beforeAutospacing="0" w:after="156" w:afterLines="50" w:afterAutospacing="0" w:line="480" w:lineRule="exact"/>
        <w:jc w:val="center"/>
        <w:rPr>
          <w:rStyle w:val="20"/>
        </w:rPr>
      </w:pPr>
      <w:bookmarkStart w:id="87" w:name="_Toc529805613_WPSOffice_Level1"/>
      <w:bookmarkStart w:id="88" w:name="_Toc989605531_WPSOffice_Level1"/>
      <w:r>
        <w:rPr>
          <w:rStyle w:val="20"/>
          <w:rFonts w:hint="eastAsia" w:ascii="宋体" w:hAnsi="宋体" w:eastAsia="宋体"/>
          <w:color w:val="000000" w:themeColor="text1"/>
          <w:sz w:val="24"/>
          <w:szCs w:val="24"/>
          <w14:textFill>
            <w14:solidFill>
              <w14:schemeClr w14:val="tx1"/>
            </w14:solidFill>
          </w14:textFill>
        </w:rPr>
        <w:t>第二章 理事会</w:t>
      </w:r>
      <w:bookmarkEnd w:id="87"/>
      <w:bookmarkEnd w:id="88"/>
    </w:p>
    <w:p w14:paraId="6406CF8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第四条 本基金会由</w:t>
      </w:r>
      <w:r>
        <w:rPr>
          <w:rFonts w:ascii="宋体" w:hAnsi="宋体" w:eastAsia="宋体"/>
          <w:color w:val="000000" w:themeColor="text1"/>
          <w:sz w:val="24"/>
          <w:szCs w:val="24"/>
          <w14:textFill>
            <w14:solidFill>
              <w14:schemeClr w14:val="tx1"/>
            </w14:solidFill>
          </w14:textFill>
        </w:rPr>
        <w:t>5-25</w:t>
      </w:r>
      <w:r>
        <w:rPr>
          <w:rFonts w:hint="eastAsia" w:ascii="宋体" w:hAnsi="宋体" w:eastAsia="宋体"/>
          <w:color w:val="000000" w:themeColor="text1"/>
          <w:sz w:val="24"/>
          <w:szCs w:val="24"/>
          <w14:textFill>
            <w14:solidFill>
              <w14:schemeClr w14:val="tx1"/>
            </w14:solidFill>
          </w14:textFill>
        </w:rPr>
        <w:t>名理事组成理事会。理事每届任期为</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年，任期届满，连选可以连任。</w:t>
      </w:r>
    </w:p>
    <w:p w14:paraId="74546866">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第五条 理事会权责</w:t>
      </w:r>
    </w:p>
    <w:p w14:paraId="653602A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制定、修改章程; </w:t>
      </w:r>
    </w:p>
    <w:p w14:paraId="64105BD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选举、罢免理事长、副理事长、秘书长;</w:t>
      </w:r>
    </w:p>
    <w:p w14:paraId="62A12B0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决定重大业务活动计划，包括资金的募集、管理和使用计划;</w:t>
      </w:r>
    </w:p>
    <w:p w14:paraId="5BFC0A59">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年度收支预算及决算审定;</w:t>
      </w:r>
    </w:p>
    <w:p w14:paraId="6F25E6A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制定内部管理制度;</w:t>
      </w:r>
    </w:p>
    <w:p w14:paraId="1C0D705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决定设立办事机构、分支机构、代表机构;</w:t>
      </w:r>
    </w:p>
    <w:p w14:paraId="4A9BF9A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决定基金会的分立、合并或终止;</w:t>
      </w:r>
    </w:p>
    <w:p w14:paraId="5CC51DA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(八)</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决定由秘书长提名的副秘书长、财务负责人和各机构主要负责人的聘任;</w:t>
      </w:r>
    </w:p>
    <w:p w14:paraId="1110AE4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(九)</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听取、审议秘书长的工作报告，检查秘书长的工作;</w:t>
      </w:r>
    </w:p>
    <w:p w14:paraId="47F98166">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决定基金会的重大慈善项目、重大募捐、重大投资活动及重大交易和资金往来;</w:t>
      </w:r>
      <w:r>
        <w:rPr>
          <w:rFonts w:ascii="宋体" w:hAnsi="宋体" w:eastAsia="宋体"/>
          <w:color w:val="000000" w:themeColor="text1"/>
          <w:sz w:val="24"/>
          <w:szCs w:val="24"/>
          <w14:textFill>
            <w14:solidFill>
              <w14:schemeClr w14:val="tx1"/>
            </w14:solidFill>
          </w14:textFill>
        </w:rPr>
        <w:t xml:space="preserve"> </w:t>
      </w:r>
    </w:p>
    <w:p w14:paraId="49E61014">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(十一) 决定基金会设立和终止下属专项子基金;</w:t>
      </w:r>
    </w:p>
    <w:p w14:paraId="1A03A9E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(十二)</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决定其他重大事项。</w:t>
      </w:r>
    </w:p>
    <w:p w14:paraId="199AE10F">
      <w:pPr>
        <w:pStyle w:val="15"/>
        <w:shd w:val="clear" w:color="auto" w:fill="FFFFFF"/>
        <w:spacing w:before="156" w:beforeLines="50" w:beforeAutospacing="0" w:after="156" w:afterLines="50" w:afterAutospacing="0" w:line="480" w:lineRule="exact"/>
        <w:ind w:firstLine="360" w:firstLineChars="15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第六条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理事任职资格</w:t>
      </w:r>
    </w:p>
    <w:p w14:paraId="65B8CEDE">
      <w:pPr>
        <w:pStyle w:val="15"/>
        <w:shd w:val="clear" w:color="auto" w:fill="FFFFFF"/>
        <w:spacing w:before="156" w:beforeLines="50" w:beforeAutospacing="0" w:after="156" w:afterLines="50" w:afterAutospacing="0" w:line="480" w:lineRule="exact"/>
        <w:ind w:left="480" w:left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 能自觉接受本章程的规定;</w:t>
      </w:r>
    </w:p>
    <w:p w14:paraId="7DE5135B">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 热心本基金会所从事的公益事业，认同本基金会的使命、目标，并志愿服务于理事会;</w:t>
      </w:r>
    </w:p>
    <w:p w14:paraId="58247BC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 在社会上具有较好声誉，并能对本基金会发挥重要作用;</w:t>
      </w:r>
    </w:p>
    <w:p w14:paraId="0AAE372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 尊重理事会的多元文化，具有较强的议事决策能力、人际沟通能力，具有与业务工作相适应的工作阅历和工作经验;</w:t>
      </w:r>
    </w:p>
    <w:p w14:paraId="58857D5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 身体健康，能坚持正常工作;</w:t>
      </w:r>
    </w:p>
    <w:p w14:paraId="1425A38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(六) 具有完全民事行为能力; </w:t>
      </w:r>
    </w:p>
    <w:p w14:paraId="0300669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能够尽职尽责，保障捐赠财产的使用符合捐赠人的意愿和基金会的公益目的，保障基金会财产的安全及保值增值;</w:t>
      </w:r>
    </w:p>
    <w:p w14:paraId="416C66D4">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(八) 廉洁奉公，办事公道。</w:t>
      </w:r>
    </w:p>
    <w:p w14:paraId="76B1A0CA">
      <w:pPr>
        <w:pStyle w:val="15"/>
        <w:shd w:val="clear" w:color="auto" w:fill="FFFFFF"/>
        <w:spacing w:before="156" w:beforeLines="50" w:beforeAutospacing="0" w:after="156" w:afterLines="50" w:afterAutospacing="0" w:line="480" w:lineRule="exact"/>
        <w:ind w:firstLine="360" w:firstLineChars="15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第七条 理事的产生和罢免：</w:t>
      </w:r>
    </w:p>
    <w:p w14:paraId="17726B0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第一届理事由各发起人分别提名并共同协商确定；</w:t>
      </w:r>
    </w:p>
    <w:p w14:paraId="1B81D3B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理事会换届改选时，由各发起人共同提名候选人并组织换届领导小组，组织全部候选人共同选举产生新一届理事；</w:t>
      </w:r>
    </w:p>
    <w:p w14:paraId="5EA43FA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罢免、增补理事应当经理事会表决通过，报业务主管单位审查同意；</w:t>
      </w:r>
    </w:p>
    <w:p w14:paraId="5E2B465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理事的选举和罢免结果报登记管理机关备案；</w:t>
      </w:r>
    </w:p>
    <w:p w14:paraId="3D360219">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具有近亲属关系的不得同时在理事会任职。</w:t>
      </w:r>
    </w:p>
    <w:p w14:paraId="5BFB3D0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第八条　理事权利义务</w:t>
      </w:r>
    </w:p>
    <w:p w14:paraId="50619F2B">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 享有本基金会内部选举权、被选举权和表决权;</w:t>
      </w:r>
    </w:p>
    <w:p w14:paraId="4C241C19">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 享有批评权、建议权和监督权，有权对提交理事会会议的文件、材料提出质疑，要求说明;</w:t>
      </w:r>
    </w:p>
    <w:p w14:paraId="2056BF01">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 按照章程规定的组织形式和工作程序，参与本基金会的内部事务管理;</w:t>
      </w:r>
    </w:p>
    <w:p w14:paraId="3AEA4DA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 积极参加和支持本基金会组织的各项公益活动;</w:t>
      </w:r>
    </w:p>
    <w:p w14:paraId="49B0B8C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 遵守本章程，维护本基金会的合法权益;</w:t>
      </w:r>
    </w:p>
    <w:p w14:paraId="1BAEB43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 贯彻基金会宗旨，执行基金会的决议，完成基金会交办的任务;</w:t>
      </w:r>
    </w:p>
    <w:p w14:paraId="18439139">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 了解基金会日常工作的进展情况;</w:t>
      </w:r>
    </w:p>
    <w:p w14:paraId="7326EDE1">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(八) 向本基金会提出工作意见和工作设想;</w:t>
      </w:r>
    </w:p>
    <w:p w14:paraId="3780B71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(九) 有权调阅本基金会档案、文件或约见本基金会工作人员了解情况, 查询或调查本基金会的专项工作;</w:t>
      </w:r>
    </w:p>
    <w:p w14:paraId="5FFCCBF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 理事负有按规定不泄露本基金会秘密的义务，在未获得授权的情况下，不能代表理事会和本基金会发言；</w:t>
      </w:r>
    </w:p>
    <w:p w14:paraId="002A929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（十一）提议召开理事会。</w:t>
      </w:r>
    </w:p>
    <w:p w14:paraId="7C455621">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第九条</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理事会换届之前，应当进行换届审计。</w:t>
      </w:r>
    </w:p>
    <w:p w14:paraId="0B063C8F">
      <w:pPr>
        <w:pStyle w:val="15"/>
        <w:shd w:val="clear" w:color="auto" w:fill="FFFFFF"/>
        <w:spacing w:before="156" w:beforeLines="50" w:beforeAutospacing="0" w:after="156" w:afterLines="50" w:afterAutospacing="0" w:line="480" w:lineRule="exact"/>
        <w:jc w:val="center"/>
        <w:rPr>
          <w:rStyle w:val="20"/>
        </w:rPr>
      </w:pPr>
      <w:bookmarkStart w:id="89" w:name="_Toc975737229_WPSOffice_Level1"/>
      <w:bookmarkStart w:id="90" w:name="_Toc39313502_WPSOffice_Level1"/>
      <w:r>
        <w:rPr>
          <w:rStyle w:val="20"/>
          <w:rFonts w:hint="eastAsia" w:ascii="宋体" w:hAnsi="宋体" w:eastAsia="宋体"/>
          <w:color w:val="000000" w:themeColor="text1"/>
          <w:sz w:val="24"/>
          <w:szCs w:val="24"/>
          <w14:textFill>
            <w14:solidFill>
              <w14:schemeClr w14:val="tx1"/>
            </w14:solidFill>
          </w14:textFill>
        </w:rPr>
        <w:t>第三章 理事会领导机构</w:t>
      </w:r>
      <w:bookmarkEnd w:id="89"/>
      <w:bookmarkEnd w:id="90"/>
    </w:p>
    <w:p w14:paraId="094DF286">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第十条　理事会领导机构由理事长、副理事长、秘书长组成，由理事会从理事中选举产生。</w:t>
      </w:r>
    </w:p>
    <w:p w14:paraId="0E5DB77B">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第十一条　基金会理事长、副理事长、秘书长必须符合以下条件：</w:t>
      </w:r>
    </w:p>
    <w:p w14:paraId="3C549106">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（一）在本基金会业务领域内有较大影响；</w:t>
      </w:r>
    </w:p>
    <w:p w14:paraId="134C548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（二）身体健康，能够坚持正常工作；</w:t>
      </w:r>
    </w:p>
    <w:p w14:paraId="725334C6">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（三）理事长、副理事长、秘书长最高任职年龄不超过七十周岁，秘书长为专职；</w:t>
      </w:r>
    </w:p>
    <w:p w14:paraId="7D1C948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（四）具有完全民事行为能力。</w:t>
      </w:r>
    </w:p>
    <w:p w14:paraId="4C7BD28B">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第十二条　有下列情形之一的人员，不能担任本基金会的理事长、副理事长、秘书长：</w:t>
      </w:r>
    </w:p>
    <w:p w14:paraId="4548F8E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（一）无民事行为能力或者限制民事行为能力的；</w:t>
      </w:r>
    </w:p>
    <w:p w14:paraId="1B82CBE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（二）属于现职国家工作人员的；</w:t>
      </w:r>
    </w:p>
    <w:p w14:paraId="03D4558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（三）因犯罪被判管制、拘役或者有期徒刑，刑期执行完毕之日起未逾5年的；</w:t>
      </w:r>
    </w:p>
    <w:p w14:paraId="03E1C6E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 因犯罪被判处剥夺政治权利正在执行期间或者曾经被判处剥夺政治权利的；</w:t>
      </w:r>
    </w:p>
    <w:p w14:paraId="079861D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（五）曾在因违法被撤销登记的基金会担任理事长、副理事长或秘书长，且对该基金会的违法行为负有个人责任，自该基金会被撤销之日起未逾5年的；</w:t>
      </w:r>
    </w:p>
    <w:p w14:paraId="7BEF1BD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（六）法律、行政法规规定的其他情形。</w:t>
      </w:r>
    </w:p>
    <w:p w14:paraId="1F0D29E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第十三条 本基金会的理事长、副理事长、秘书长每届任期5年，连任不超过两届。因特殊情况需超届连任的，须经理事会特殊程序表决通过，报业务主管单位审查并经登记管理机关批准同意后，方可任职。</w:t>
      </w:r>
    </w:p>
    <w:p w14:paraId="570C7DEB">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遵守上述规定同时，涉及北京市社会组织党建工作机构审核社会组织负责人事项，按北京市有关规定执行。</w:t>
      </w:r>
    </w:p>
    <w:p w14:paraId="154790C4">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第十四条 担任本基金会副理事长或者秘书长的香港居民、澳门居民、台湾居民以及外国人，每年在中国内地居留时间不得少于3个月。</w:t>
      </w:r>
    </w:p>
    <w:p w14:paraId="7589745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第十五条 理事长为基金会法定代表人。基金会法定代表人不得兼任其他组织的法定代表人。本基金会法定代表人应当由中国内地居民担任。</w:t>
      </w:r>
    </w:p>
    <w:p w14:paraId="3541E05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第十六条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基金会法定代表人在任期间，基金会发生违反《基金会管理条例》和章程的行为，法定代表人应当承担相关责任。因法定代表人失职，导致本基金会发生违法行为或本基金会财产损失的，法定代表人应当承担个人责任。</w:t>
      </w:r>
    </w:p>
    <w:p w14:paraId="3B491BD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第十七条 基金会更换法定代表人之前，要进行离任审计。</w:t>
      </w:r>
    </w:p>
    <w:p w14:paraId="7EBDC89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第十八条　理事长行使下列职权：</w:t>
      </w:r>
    </w:p>
    <w:p w14:paraId="51C53F9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召集和主持理事会会议; </w:t>
      </w:r>
    </w:p>
    <w:p w14:paraId="1726667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检查理事会决议的落实情况; </w:t>
      </w:r>
    </w:p>
    <w:p w14:paraId="3736BE4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代表基金会签署重要文件;</w:t>
      </w:r>
    </w:p>
    <w:p w14:paraId="4A2F513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组织实施基金会年度公益活动计划;</w:t>
      </w:r>
    </w:p>
    <w:p w14:paraId="144C4CA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拟订资金的筹集、管理和使用计划;</w:t>
      </w:r>
    </w:p>
    <w:p w14:paraId="4E25850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拟订基金会的内部管理规章制度。</w:t>
      </w:r>
    </w:p>
    <w:p w14:paraId="106E0A29">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第十九条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本基金会副理事长、秘书长在理事长领导下开展工作。秘书长行使下列职权：</w:t>
      </w:r>
    </w:p>
    <w:p w14:paraId="6888707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 主持开展日常工作，组织实施理事会决议;</w:t>
      </w:r>
    </w:p>
    <w:p w14:paraId="554FF141">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 协调各机构开展工作;</w:t>
      </w:r>
    </w:p>
    <w:p w14:paraId="76E72AE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(三) 提议聘任或解聘副秘书长以及财务负责人; </w:t>
      </w:r>
    </w:p>
    <w:p w14:paraId="1D657CB1">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(四) 提议聘任或解聘各机构主要负责人; </w:t>
      </w:r>
    </w:p>
    <w:p w14:paraId="596D628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(五) 决定各机构专职工作人员聘用; </w:t>
      </w:r>
    </w:p>
    <w:p w14:paraId="546A834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(六) 章程和理事会赋予的其他职权。 </w:t>
      </w:r>
    </w:p>
    <w:p w14:paraId="153C1723">
      <w:pPr>
        <w:pStyle w:val="15"/>
        <w:shd w:val="clear" w:color="auto" w:fill="FFFFFF"/>
        <w:spacing w:before="156" w:beforeLines="50" w:beforeAutospacing="0" w:after="156" w:afterLines="50" w:afterAutospacing="0" w:line="480" w:lineRule="exact"/>
        <w:jc w:val="center"/>
        <w:rPr>
          <w:rStyle w:val="20"/>
        </w:rPr>
      </w:pPr>
      <w:bookmarkStart w:id="91" w:name="_Toc1030479311_WPSOffice_Level1"/>
      <w:bookmarkStart w:id="92" w:name="_Toc1464548485_WPSOffice_Level1"/>
      <w:r>
        <w:rPr>
          <w:rStyle w:val="20"/>
          <w:rFonts w:hint="eastAsia" w:ascii="宋体" w:hAnsi="宋体" w:eastAsia="宋体"/>
          <w:color w:val="000000" w:themeColor="text1"/>
          <w:sz w:val="24"/>
          <w:szCs w:val="24"/>
          <w14:textFill>
            <w14:solidFill>
              <w14:schemeClr w14:val="tx1"/>
            </w14:solidFill>
          </w14:textFill>
        </w:rPr>
        <w:t>第四章 理事会会议</w:t>
      </w:r>
      <w:bookmarkEnd w:id="91"/>
      <w:bookmarkEnd w:id="92"/>
    </w:p>
    <w:p w14:paraId="3D505E5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第二十条　理事会每年至少召开</w:t>
      </w:r>
      <w:r>
        <w:rPr>
          <w:rFonts w:ascii="宋体" w:hAnsi="宋体" w:eastAsia="宋体"/>
          <w:color w:val="000000" w:themeColor="text1"/>
          <w:sz w:val="24"/>
          <w:szCs w:val="24"/>
          <w14:textFill>
            <w14:solidFill>
              <w14:schemeClr w14:val="tx1"/>
            </w14:solidFill>
          </w14:textFill>
        </w:rPr>
        <w:t>2</w:t>
      </w:r>
      <w:r>
        <w:rPr>
          <w:rFonts w:hint="eastAsia"/>
        </w:rPr>
        <w:t> </w:t>
      </w:r>
      <w:r>
        <w:rPr>
          <w:rFonts w:hint="eastAsia" w:ascii="宋体" w:hAnsi="宋体" w:eastAsia="宋体"/>
          <w:color w:val="000000" w:themeColor="text1"/>
          <w:sz w:val="24"/>
          <w:szCs w:val="24"/>
          <w14:textFill>
            <w14:solidFill>
              <w14:schemeClr w14:val="tx1"/>
            </w14:solidFill>
          </w14:textFill>
        </w:rPr>
        <w:t>次会议。理事会会议由理事长负责召集和主持。有1/3理事提议，必须召开理事会会议。如理事长不能召集，提议理事可推选召集人。召开理事会会议，理事长或召集人需至少提前</w:t>
      </w:r>
      <w:r>
        <w:rPr>
          <w:rFonts w:ascii="宋体" w:hAnsi="宋体" w:eastAsia="宋体"/>
          <w:color w:val="000000" w:themeColor="text1"/>
          <w:sz w:val="24"/>
          <w:szCs w:val="24"/>
          <w14:textFill>
            <w14:solidFill>
              <w14:schemeClr w14:val="tx1"/>
            </w14:solidFill>
          </w14:textFill>
        </w:rPr>
        <w:t>5</w:t>
      </w:r>
      <w:r>
        <w:rPr>
          <w:rFonts w:hint="eastAsia"/>
        </w:rPr>
        <w:t> </w:t>
      </w:r>
      <w:r>
        <w:rPr>
          <w:rFonts w:hint="eastAsia" w:ascii="宋体" w:hAnsi="宋体" w:eastAsia="宋体"/>
          <w:color w:val="000000" w:themeColor="text1"/>
          <w:sz w:val="24"/>
          <w:szCs w:val="24"/>
          <w14:textFill>
            <w14:solidFill>
              <w14:schemeClr w14:val="tx1"/>
            </w14:solidFill>
          </w14:textFill>
        </w:rPr>
        <w:t>日通知全体理事、监事。　　</w:t>
      </w:r>
    </w:p>
    <w:p w14:paraId="4F4064DB">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第二十一条　理事会会议可以采取线下或通讯方式进行，理事会会议须有2/3以上理事出席（参与）方能召开，理事会决议须经全体理事的</w:t>
      </w:r>
      <w:r>
        <w:rPr>
          <w:rFonts w:ascii="宋体" w:hAnsi="宋体" w:eastAsia="宋体"/>
          <w:color w:val="000000" w:themeColor="text1"/>
          <w:sz w:val="24"/>
          <w:szCs w:val="24"/>
          <w14:textFill>
            <w14:solidFill>
              <w14:schemeClr w14:val="tx1"/>
            </w14:solidFill>
          </w14:textFill>
        </w:rPr>
        <w:t>半数</w:t>
      </w:r>
      <w:r>
        <w:rPr>
          <w:rFonts w:hint="eastAsia" w:ascii="宋体" w:hAnsi="宋体" w:eastAsia="宋体"/>
          <w:color w:val="000000" w:themeColor="text1"/>
          <w:sz w:val="24"/>
          <w:szCs w:val="24"/>
          <w14:textFill>
            <w14:solidFill>
              <w14:schemeClr w14:val="tx1"/>
            </w14:solidFill>
          </w14:textFill>
        </w:rPr>
        <w:t>以上通过方为有效。</w:t>
      </w:r>
    </w:p>
    <w:p w14:paraId="746A0E4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下列重要事项的决议，须经出席理事表决，2/3以上通过方为有效：</w:t>
      </w:r>
    </w:p>
    <w:p w14:paraId="23B3C3FE">
      <w:pPr>
        <w:pStyle w:val="15"/>
        <w:numPr>
          <w:ilvl w:val="0"/>
          <w:numId w:val="3"/>
        </w:numPr>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章程的修改；</w:t>
      </w:r>
    </w:p>
    <w:p w14:paraId="4272B247">
      <w:pPr>
        <w:pStyle w:val="15"/>
        <w:numPr>
          <w:ilvl w:val="0"/>
          <w:numId w:val="3"/>
        </w:numPr>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选举或者罢免理事长、副理事长、秘书长；</w:t>
      </w:r>
    </w:p>
    <w:p w14:paraId="452E20D0">
      <w:pPr>
        <w:pStyle w:val="15"/>
        <w:numPr>
          <w:ilvl w:val="0"/>
          <w:numId w:val="3"/>
        </w:numPr>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章程规定的重大募捐、投资活动；</w:t>
      </w:r>
    </w:p>
    <w:p w14:paraId="15ADAF4C">
      <w:pPr>
        <w:pStyle w:val="15"/>
        <w:numPr>
          <w:ilvl w:val="0"/>
          <w:numId w:val="3"/>
        </w:numPr>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基金会的分立、合并</w:t>
      </w:r>
    </w:p>
    <w:p w14:paraId="432AA10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第二十二条　理事会会议应当制作会议记录。形成决议的，应当场制作会议纪要，并由出席理事审阅、签名。</w:t>
      </w:r>
    </w:p>
    <w:p w14:paraId="55700F5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采用通讯方式召开的理事会会议应当当场制作电子会议纪要，由参会理事审阅并发表是否同意的意见；参会理事应于会议召开后</w:t>
      </w:r>
      <w:r>
        <w:rPr>
          <w:rFonts w:ascii="宋体" w:hAnsi="宋体" w:eastAsia="宋体"/>
          <w:color w:val="000000" w:themeColor="text1"/>
          <w:sz w:val="24"/>
          <w:szCs w:val="24"/>
          <w14:textFill>
            <w14:solidFill>
              <w14:schemeClr w14:val="tx1"/>
            </w14:solidFill>
          </w14:textFill>
        </w:rPr>
        <w:t>5日</w:t>
      </w:r>
      <w:r>
        <w:rPr>
          <w:rFonts w:hint="eastAsia" w:ascii="宋体" w:hAnsi="宋体" w:eastAsia="宋体"/>
          <w:color w:val="000000" w:themeColor="text1"/>
          <w:sz w:val="24"/>
          <w:szCs w:val="24"/>
          <w14:textFill>
            <w14:solidFill>
              <w14:schemeClr w14:val="tx1"/>
            </w14:solidFill>
          </w14:textFill>
        </w:rPr>
        <w:t>内补签会议纪要。</w:t>
      </w:r>
    </w:p>
    <w:p w14:paraId="4708496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理事会决议违反法律、法规或章程规定，致使本基金会遭受损失的，参与决议的理事应当承担责任。但经证明在表决时反对并记载于会议记录的，该理事可免除责任。</w:t>
      </w:r>
    </w:p>
    <w:p w14:paraId="23F3D57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第二十三条　基金会理事遇有个人利益与基金会利益关联时，不得参与相关事宜的决策。基金会理事及其近亲属不得与基金会有任何交易行为。</w:t>
      </w:r>
    </w:p>
    <w:p w14:paraId="5C52390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第二十四条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基金会理事因故不能到会的，可以委托第三人代为参会表决：</w:t>
      </w:r>
    </w:p>
    <w:p w14:paraId="5961F3B1">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 接受委托的第三人须为完全民事行为能力人，不存在需要回避的情形；</w:t>
      </w:r>
    </w:p>
    <w:p w14:paraId="1DCEB1B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 授权理事应签署授权委托书，写明授权期限、授权权限等内容并签字，第三人代为参会的应当提交授权委托书原件；</w:t>
      </w:r>
    </w:p>
    <w:p w14:paraId="1D842F84">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（三）一个受托人只能接受一名理事的授权委托；</w:t>
      </w:r>
    </w:p>
    <w:p w14:paraId="731FAEB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（四）理事不得接受其他理事的授权委托；</w:t>
      </w:r>
    </w:p>
    <w:p w14:paraId="217ECBE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（五）需要回避的理事，不得委托第三人代为参会。</w:t>
      </w:r>
    </w:p>
    <w:p w14:paraId="1860DE32">
      <w:pPr>
        <w:pStyle w:val="15"/>
        <w:shd w:val="clear" w:color="auto" w:fill="FFFFFF"/>
        <w:spacing w:before="156" w:beforeLines="50" w:beforeAutospacing="0" w:after="156" w:afterLines="50" w:afterAutospacing="0" w:line="480" w:lineRule="exact"/>
        <w:jc w:val="center"/>
        <w:rPr>
          <w:rStyle w:val="20"/>
        </w:rPr>
      </w:pPr>
      <w:bookmarkStart w:id="93" w:name="_Toc1957650569_WPSOffice_Level1"/>
      <w:bookmarkStart w:id="94" w:name="_Toc208825481_WPSOffice_Level1"/>
      <w:r>
        <w:rPr>
          <w:rStyle w:val="20"/>
          <w:rFonts w:hint="eastAsia" w:ascii="宋体" w:hAnsi="宋体" w:eastAsia="宋体"/>
          <w:color w:val="000000" w:themeColor="text1"/>
          <w:sz w:val="24"/>
          <w:szCs w:val="24"/>
          <w14:textFill>
            <w14:solidFill>
              <w14:schemeClr w14:val="tx1"/>
            </w14:solidFill>
          </w14:textFill>
        </w:rPr>
        <w:t>第五章 理事会议案及决议执行</w:t>
      </w:r>
      <w:bookmarkEnd w:id="93"/>
      <w:bookmarkEnd w:id="94"/>
    </w:p>
    <w:p w14:paraId="5738DB0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第二十五条 理事向理事会提出的议案，一般应至少在召开理事会会议前</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日，以书面方式递交秘书长。</w:t>
      </w:r>
    </w:p>
    <w:p w14:paraId="3B36DA6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第二十六条 理事会决议执行落实情况应定期向理事会报告。</w:t>
      </w:r>
    </w:p>
    <w:p w14:paraId="42668DB8">
      <w:pPr>
        <w:pStyle w:val="15"/>
        <w:shd w:val="clear" w:color="auto" w:fill="FFFFFF"/>
        <w:spacing w:before="156" w:beforeLines="50" w:beforeAutospacing="0" w:after="156" w:afterLines="50" w:afterAutospacing="0" w:line="480" w:lineRule="exact"/>
        <w:jc w:val="center"/>
        <w:rPr>
          <w:rStyle w:val="20"/>
          <w:rFonts w:ascii="宋体" w:hAnsi="宋体" w:eastAsia="宋体"/>
          <w:color w:val="000000" w:themeColor="text1"/>
          <w:sz w:val="24"/>
          <w:szCs w:val="24"/>
          <w14:textFill>
            <w14:solidFill>
              <w14:schemeClr w14:val="tx1"/>
            </w14:solidFill>
          </w14:textFill>
        </w:rPr>
      </w:pPr>
      <w:bookmarkStart w:id="95" w:name="_Toc741579969_WPSOffice_Level1"/>
      <w:bookmarkStart w:id="96" w:name="_Toc636157496_WPSOffice_Level1"/>
      <w:r>
        <w:rPr>
          <w:rStyle w:val="20"/>
          <w:rFonts w:hint="eastAsia" w:ascii="宋体" w:hAnsi="宋体" w:eastAsia="宋体"/>
          <w:color w:val="000000" w:themeColor="text1"/>
          <w:sz w:val="24"/>
          <w:szCs w:val="24"/>
          <w14:textFill>
            <w14:solidFill>
              <w14:schemeClr w14:val="tx1"/>
            </w14:solidFill>
          </w14:textFill>
        </w:rPr>
        <w:t>第六章  附 则</w:t>
      </w:r>
      <w:bookmarkEnd w:id="95"/>
      <w:bookmarkEnd w:id="96"/>
    </w:p>
    <w:p w14:paraId="7357AAE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第二十七条 本制度未尽事宜或与有关规定不一致的，按有关规定执行。</w:t>
      </w:r>
    </w:p>
    <w:p w14:paraId="0545333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第二十八条 本制度由理事会负责解释。</w:t>
      </w:r>
    </w:p>
    <w:p w14:paraId="4AC9CA9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第二十九条 本制度自理事会审议通过后执行。</w:t>
      </w:r>
    </w:p>
    <w:p w14:paraId="3A6F1E36">
      <w:pPr>
        <w:spacing w:before="156" w:beforeLines="50" w:after="156" w:afterLines="50" w:line="480" w:lineRule="exact"/>
        <w:rPr>
          <w:color w:val="000000" w:themeColor="text1"/>
          <w:sz w:val="32"/>
          <w:szCs w:val="32"/>
          <w14:textFill>
            <w14:solidFill>
              <w14:schemeClr w14:val="tx1"/>
            </w14:solidFill>
          </w14:textFill>
        </w:rPr>
      </w:pPr>
    </w:p>
    <w:p w14:paraId="53E6DF66">
      <w:r>
        <w:br w:type="page"/>
      </w:r>
    </w:p>
    <w:p w14:paraId="5B152777">
      <w:pPr>
        <w:pStyle w:val="2"/>
      </w:pPr>
      <w:bookmarkStart w:id="97" w:name="_Toc928775231"/>
      <w:bookmarkStart w:id="98" w:name="_Toc1942095845"/>
      <w:bookmarkStart w:id="99" w:name="_Toc1725440506_WPSOffice_Level1"/>
      <w:r>
        <w:t>北京中致儿童关爱</w:t>
      </w:r>
      <w:r>
        <w:rPr>
          <w:rFonts w:hint="eastAsia"/>
        </w:rPr>
        <w:t>基金会</w:t>
      </w:r>
      <w:bookmarkEnd w:id="97"/>
      <w:bookmarkEnd w:id="98"/>
      <w:bookmarkEnd w:id="99"/>
    </w:p>
    <w:p w14:paraId="5597F125">
      <w:pPr>
        <w:pStyle w:val="2"/>
      </w:pPr>
      <w:bookmarkStart w:id="100" w:name="_Toc2014161021"/>
      <w:bookmarkStart w:id="101" w:name="_Toc1200916162"/>
      <w:bookmarkStart w:id="102" w:name="_Toc1832958445_WPSOffice_Level1"/>
      <w:bookmarkStart w:id="103" w:name="_Toc2006898901_WPSOffice_Level1"/>
      <w:r>
        <w:rPr>
          <w:rFonts w:hint="eastAsia"/>
        </w:rPr>
        <w:t>监事制度</w:t>
      </w:r>
      <w:bookmarkEnd w:id="100"/>
      <w:bookmarkEnd w:id="101"/>
      <w:bookmarkEnd w:id="102"/>
      <w:bookmarkEnd w:id="103"/>
    </w:p>
    <w:p w14:paraId="410B0E61">
      <w:pPr>
        <w:widowControl/>
        <w:shd w:val="clear" w:color="auto" w:fill="FFFFFF"/>
        <w:spacing w:before="156" w:beforeLines="50" w:after="156" w:afterLines="50" w:line="480" w:lineRule="exact"/>
        <w:jc w:val="center"/>
        <w:rPr>
          <w:rFonts w:ascii="宋体" w:hAnsi="宋体" w:eastAsia="宋体" w:cs="Times New Roman"/>
          <w:b/>
          <w:bCs/>
          <w:color w:val="000000" w:themeColor="text1"/>
          <w:kern w:val="0"/>
          <w14:textFill>
            <w14:solidFill>
              <w14:schemeClr w14:val="tx1"/>
            </w14:solidFill>
          </w14:textFill>
        </w:rPr>
      </w:pPr>
      <w:bookmarkStart w:id="104" w:name="_Toc1571669325_WPSOffice_Level1"/>
      <w:bookmarkStart w:id="105" w:name="_Toc879668900_WPSOffice_Level1"/>
      <w:r>
        <w:rPr>
          <w:rFonts w:hint="eastAsia" w:ascii="宋体" w:hAnsi="宋体" w:eastAsia="宋体" w:cs="Times New Roman"/>
          <w:b/>
          <w:bCs/>
          <w:color w:val="000000" w:themeColor="text1"/>
          <w:kern w:val="0"/>
          <w14:textFill>
            <w14:solidFill>
              <w14:schemeClr w14:val="tx1"/>
            </w14:solidFill>
          </w14:textFill>
        </w:rPr>
        <w:t>第一章 总 则</w:t>
      </w:r>
      <w:bookmarkEnd w:id="104"/>
      <w:bookmarkEnd w:id="105"/>
    </w:p>
    <w:p w14:paraId="60337554">
      <w:pPr>
        <w:widowControl/>
        <w:shd w:val="clear" w:color="auto" w:fill="FFFFFF"/>
        <w:spacing w:before="156" w:beforeLines="50" w:after="156" w:afterLines="50" w:line="480" w:lineRule="exact"/>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　　第一条 为确保监事依法独立、有效行使监督权，提高监管工作效力，根据《基金会管理条例》和本基金会章程，结合基金会实际情况，制定本制度。   </w:t>
      </w:r>
    </w:p>
    <w:p w14:paraId="31290C6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第二条 监事应当依法享有并行使监督权。 </w:t>
      </w:r>
    </w:p>
    <w:p w14:paraId="0ECDB30C">
      <w:pPr>
        <w:widowControl/>
        <w:shd w:val="clear" w:color="auto" w:fill="FFFFFF"/>
        <w:spacing w:before="156" w:beforeLines="50" w:after="156" w:afterLines="50" w:line="480" w:lineRule="exact"/>
        <w:jc w:val="center"/>
        <w:rPr>
          <w:rFonts w:ascii="宋体" w:hAnsi="宋体" w:eastAsia="宋体" w:cs="Times New Roman"/>
          <w:color w:val="000000" w:themeColor="text1"/>
          <w:kern w:val="0"/>
          <w14:textFill>
            <w14:solidFill>
              <w14:schemeClr w14:val="tx1"/>
            </w14:solidFill>
          </w14:textFill>
        </w:rPr>
      </w:pPr>
      <w:bookmarkStart w:id="106" w:name="_Toc1317776352_WPSOffice_Level1"/>
      <w:bookmarkStart w:id="107" w:name="_Toc997487175_WPSOffice_Level1"/>
      <w:r>
        <w:rPr>
          <w:rFonts w:hint="eastAsia" w:ascii="宋体" w:hAnsi="宋体" w:eastAsia="宋体" w:cs="Times New Roman"/>
          <w:b/>
          <w:bCs/>
          <w:color w:val="000000" w:themeColor="text1"/>
          <w:kern w:val="0"/>
          <w14:textFill>
            <w14:solidFill>
              <w14:schemeClr w14:val="tx1"/>
            </w14:solidFill>
          </w14:textFill>
        </w:rPr>
        <w:t>第二章 监事任职与资格</w:t>
      </w:r>
      <w:bookmarkEnd w:id="106"/>
      <w:bookmarkEnd w:id="107"/>
    </w:p>
    <w:p w14:paraId="045A8ED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第三条 本基金会设监事1名，监事任期与理事任期相同，期满可以连任。</w:t>
      </w:r>
    </w:p>
    <w:p w14:paraId="21272394">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第四条 监事的资格：</w:t>
      </w:r>
    </w:p>
    <w:p w14:paraId="758CAB3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（一）具有完全民事行为能力，拥护本基金会宗旨，遵守本基金会章程；</w:t>
      </w:r>
    </w:p>
    <w:p w14:paraId="3090937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（二）热心本基金会所从事的公益事业；</w:t>
      </w:r>
    </w:p>
    <w:p w14:paraId="357681F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（三）坚持原则、公正廉洁；</w:t>
      </w:r>
    </w:p>
    <w:p w14:paraId="1E64C7F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（四）具有与担任监事相适应的工作阅历和经验；</w:t>
      </w:r>
    </w:p>
    <w:p w14:paraId="1B58CD9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第五条 理事、理事的近亲属和基金会财务人员不得担任监事。</w:t>
      </w:r>
    </w:p>
    <w:p w14:paraId="38D2DDF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第六条 监事的产生和罢免：　</w:t>
      </w:r>
    </w:p>
    <w:p w14:paraId="0C9904C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 xml:space="preserve">监事由发起人选派; </w:t>
      </w:r>
    </w:p>
    <w:p w14:paraId="6557F4F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 xml:space="preserve">登记管理机关根据工作需要选派; </w:t>
      </w:r>
    </w:p>
    <w:p w14:paraId="7A5CAE6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 xml:space="preserve">监事的变更依照其产生程序。 </w:t>
      </w:r>
    </w:p>
    <w:p w14:paraId="509C3C27">
      <w:pPr>
        <w:widowControl/>
        <w:shd w:val="clear" w:color="auto" w:fill="FFFFFF"/>
        <w:spacing w:before="156" w:beforeLines="50" w:after="156" w:afterLines="50" w:line="480" w:lineRule="exact"/>
        <w:jc w:val="center"/>
        <w:rPr>
          <w:rFonts w:ascii="宋体" w:hAnsi="宋体" w:eastAsia="宋体" w:cs="Times New Roman"/>
          <w:b/>
          <w:bCs/>
          <w:color w:val="000000" w:themeColor="text1"/>
          <w:kern w:val="0"/>
          <w14:textFill>
            <w14:solidFill>
              <w14:schemeClr w14:val="tx1"/>
            </w14:solidFill>
          </w14:textFill>
        </w:rPr>
      </w:pPr>
      <w:bookmarkStart w:id="108" w:name="_Toc868296553_WPSOffice_Level1"/>
      <w:bookmarkStart w:id="109" w:name="_Toc1509601743_WPSOffice_Level1"/>
      <w:r>
        <w:rPr>
          <w:rFonts w:hint="eastAsia" w:ascii="宋体" w:hAnsi="宋体" w:eastAsia="宋体" w:cs="Times New Roman"/>
          <w:b/>
          <w:bCs/>
          <w:color w:val="000000" w:themeColor="text1"/>
          <w:kern w:val="0"/>
          <w14:textFill>
            <w14:solidFill>
              <w14:schemeClr w14:val="tx1"/>
            </w14:solidFill>
          </w14:textFill>
        </w:rPr>
        <w:t>第三章 监事职权</w:t>
      </w:r>
      <w:bookmarkEnd w:id="108"/>
      <w:bookmarkEnd w:id="109"/>
    </w:p>
    <w:p w14:paraId="14BC729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第七条 监事的权责：</w:t>
      </w:r>
    </w:p>
    <w:p w14:paraId="1C85F80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 依照章程规定检查基金会财务和会计资料，监督理事会遵守法律和章程的情况；</w:t>
      </w:r>
    </w:p>
    <w:p w14:paraId="5A8A171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 列席理事会会议，有权向理事会提出质询和建议，并应当向登记管理机关、业务主管单位以及税务、会计主管部门反映情况；</w:t>
      </w:r>
    </w:p>
    <w:p w14:paraId="7EA3A2D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（三）监事应当遵守有关法律法规和基金会章程，忠实履行职责；</w:t>
      </w:r>
    </w:p>
    <w:p w14:paraId="66AA1C3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（四）监事不得与基金会有任何交易行为。</w:t>
      </w:r>
    </w:p>
    <w:p w14:paraId="270A5B2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 xml:space="preserve">第八条 </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履职程序</w:t>
      </w:r>
    </w:p>
    <w:p w14:paraId="5357BED5">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（一）监事检查基金会财务和会计资料</w:t>
      </w:r>
    </w:p>
    <w:p w14:paraId="6840DF2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ascii="宋体" w:hAnsi="宋体" w:eastAsia="宋体" w:cs="Times New Roman"/>
          <w:color w:val="000000" w:themeColor="text1"/>
          <w:kern w:val="0"/>
          <w14:textFill>
            <w14:solidFill>
              <w14:schemeClr w14:val="tx1"/>
            </w14:solidFill>
          </w14:textFill>
        </w:rPr>
        <w:t>1.</w:t>
      </w:r>
      <w:r>
        <w:rPr>
          <w:rFonts w:hint="eastAsia" w:ascii="宋体" w:hAnsi="宋体" w:eastAsia="宋体" w:cs="Times New Roman"/>
          <w:color w:val="000000" w:themeColor="text1"/>
          <w:kern w:val="0"/>
          <w14:textFill>
            <w14:solidFill>
              <w14:schemeClr w14:val="tx1"/>
            </w14:solidFill>
          </w14:textFill>
        </w:rPr>
        <w:t>提前7个工作日向基金会理事长提交书面说明（包括：申请人、申请事由、查阅内容以及阶段）；</w:t>
      </w:r>
    </w:p>
    <w:p w14:paraId="1BBD929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2</w:t>
      </w:r>
      <w:r>
        <w:rPr>
          <w:rFonts w:ascii="宋体" w:hAnsi="宋体" w:eastAsia="宋体" w:cs="Times New Roman"/>
          <w:color w:val="000000" w:themeColor="text1"/>
          <w:kern w:val="0"/>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理事长收到申请后协同财务人员确认具体检查时间，理事长无正当理由不得拒绝检查；</w:t>
      </w:r>
    </w:p>
    <w:p w14:paraId="52AE7AC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ascii="宋体" w:hAnsi="宋体" w:eastAsia="宋体" w:cs="Times New Roman"/>
          <w:color w:val="000000" w:themeColor="text1"/>
          <w:kern w:val="0"/>
          <w14:textFill>
            <w14:solidFill>
              <w14:schemeClr w14:val="tx1"/>
            </w14:solidFill>
          </w14:textFill>
        </w:rPr>
        <w:t>3.</w:t>
      </w:r>
      <w:r>
        <w:rPr>
          <w:rFonts w:hint="eastAsia" w:ascii="宋体" w:hAnsi="宋体" w:eastAsia="宋体" w:cs="Times New Roman"/>
          <w:color w:val="000000" w:themeColor="text1"/>
          <w:kern w:val="0"/>
          <w14:textFill>
            <w14:solidFill>
              <w14:schemeClr w14:val="tx1"/>
            </w14:solidFill>
          </w14:textFill>
        </w:rPr>
        <w:t>监事应在基金会财务人员的陪同下查看，不得复制、复印、拍照财务会计资料；</w:t>
      </w:r>
    </w:p>
    <w:p w14:paraId="0AA849A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ascii="宋体" w:hAnsi="宋体" w:eastAsia="宋体" w:cs="Times New Roman"/>
          <w:color w:val="000000" w:themeColor="text1"/>
          <w:kern w:val="0"/>
          <w14:textFill>
            <w14:solidFill>
              <w14:schemeClr w14:val="tx1"/>
            </w14:solidFill>
          </w14:textFill>
        </w:rPr>
        <w:t>4.</w:t>
      </w:r>
      <w:r>
        <w:rPr>
          <w:rFonts w:hint="eastAsia" w:ascii="宋体" w:hAnsi="宋体" w:eastAsia="宋体" w:cs="Times New Roman"/>
          <w:color w:val="000000" w:themeColor="text1"/>
          <w:kern w:val="0"/>
          <w14:textFill>
            <w14:solidFill>
              <w14:schemeClr w14:val="tx1"/>
            </w14:solidFill>
          </w14:textFill>
        </w:rPr>
        <w:t>监事不得委托、授权他人代为或陪同检查。</w:t>
      </w:r>
    </w:p>
    <w:p w14:paraId="751D879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（二）监事检查基金会项目资料</w:t>
      </w:r>
    </w:p>
    <w:p w14:paraId="08E6BCF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1</w:t>
      </w:r>
      <w:r>
        <w:rPr>
          <w:rFonts w:ascii="宋体" w:hAnsi="宋体" w:eastAsia="宋体" w:cs="Times New Roman"/>
          <w:color w:val="000000" w:themeColor="text1"/>
          <w:kern w:val="0"/>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提前7个工作日向基金会秘书长提交书面说明（包括：申请人、申请事由、查阅项目名称及内容）；</w:t>
      </w:r>
    </w:p>
    <w:p w14:paraId="16EC09C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2</w:t>
      </w:r>
      <w:r>
        <w:rPr>
          <w:rFonts w:ascii="宋体" w:hAnsi="宋体" w:eastAsia="宋体" w:cs="Times New Roman"/>
          <w:color w:val="000000" w:themeColor="text1"/>
          <w:kern w:val="0"/>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秘书长收到申请后协同档案管理人员或项目负责人确认具体检查时间，秘书长无正当理由不得拒绝检查；</w:t>
      </w:r>
    </w:p>
    <w:p w14:paraId="7840CE8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ascii="宋体" w:hAnsi="宋体" w:eastAsia="宋体" w:cs="Times New Roman"/>
          <w:color w:val="000000" w:themeColor="text1"/>
          <w:kern w:val="0"/>
          <w14:textFill>
            <w14:solidFill>
              <w14:schemeClr w14:val="tx1"/>
            </w14:solidFill>
          </w14:textFill>
        </w:rPr>
        <w:t>3.</w:t>
      </w:r>
      <w:r>
        <w:rPr>
          <w:rFonts w:hint="eastAsia" w:ascii="宋体" w:hAnsi="宋体" w:eastAsia="宋体" w:cs="Times New Roman"/>
          <w:color w:val="000000" w:themeColor="text1"/>
          <w:kern w:val="0"/>
          <w14:textFill>
            <w14:solidFill>
              <w14:schemeClr w14:val="tx1"/>
            </w14:solidFill>
          </w14:textFill>
        </w:rPr>
        <w:t>监事应在基金会档案管理人员或项目负责人的陪同下查看，不得复制、复印、拍照项目资料；</w:t>
      </w:r>
    </w:p>
    <w:p w14:paraId="694098D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ascii="宋体" w:hAnsi="宋体" w:eastAsia="宋体" w:cs="Times New Roman"/>
          <w:color w:val="000000" w:themeColor="text1"/>
          <w:kern w:val="0"/>
          <w14:textFill>
            <w14:solidFill>
              <w14:schemeClr w14:val="tx1"/>
            </w14:solidFill>
          </w14:textFill>
        </w:rPr>
        <w:t>4.</w:t>
      </w:r>
      <w:r>
        <w:rPr>
          <w:rFonts w:hint="eastAsia" w:ascii="宋体" w:hAnsi="宋体" w:eastAsia="宋体" w:cs="Times New Roman"/>
          <w:color w:val="000000" w:themeColor="text1"/>
          <w:kern w:val="0"/>
          <w14:textFill>
            <w14:solidFill>
              <w14:schemeClr w14:val="tx1"/>
            </w14:solidFill>
          </w14:textFill>
        </w:rPr>
        <w:t>监事不得委托、授权他人代为或陪同检查。</w:t>
      </w:r>
    </w:p>
    <w:p w14:paraId="6E35458D">
      <w:pPr>
        <w:widowControl/>
        <w:shd w:val="clear" w:color="auto" w:fill="FFFFFF"/>
        <w:spacing w:before="156" w:beforeLines="50" w:after="156" w:afterLines="50" w:line="480" w:lineRule="exact"/>
        <w:jc w:val="center"/>
        <w:rPr>
          <w:rFonts w:ascii="宋体" w:hAnsi="宋体" w:eastAsia="宋体" w:cs="Times New Roman"/>
          <w:b/>
          <w:bCs/>
          <w:color w:val="000000" w:themeColor="text1"/>
          <w:kern w:val="0"/>
          <w14:textFill>
            <w14:solidFill>
              <w14:schemeClr w14:val="tx1"/>
            </w14:solidFill>
          </w14:textFill>
        </w:rPr>
      </w:pPr>
      <w:bookmarkStart w:id="110" w:name="_Toc1308784906_WPSOffice_Level1"/>
      <w:bookmarkStart w:id="111" w:name="_Toc1504688943_WPSOffice_Level1"/>
      <w:r>
        <w:rPr>
          <w:rFonts w:hint="eastAsia" w:ascii="宋体" w:hAnsi="宋体" w:eastAsia="宋体" w:cs="Times New Roman"/>
          <w:b/>
          <w:bCs/>
          <w:color w:val="000000" w:themeColor="text1"/>
          <w:kern w:val="0"/>
          <w14:textFill>
            <w14:solidFill>
              <w14:schemeClr w14:val="tx1"/>
            </w14:solidFill>
          </w14:textFill>
        </w:rPr>
        <w:t>第四章  附 则</w:t>
      </w:r>
      <w:bookmarkEnd w:id="110"/>
      <w:bookmarkEnd w:id="111"/>
    </w:p>
    <w:p w14:paraId="0CBA2850">
      <w:pPr>
        <w:widowControl/>
        <w:shd w:val="clear" w:color="auto" w:fill="FFFFFF"/>
        <w:spacing w:before="156" w:beforeLines="50" w:after="156" w:afterLines="50" w:line="480" w:lineRule="exact"/>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　　第九条 本制度未尽事宜或与有关规定不一致的，按有关规定执行。</w:t>
      </w:r>
    </w:p>
    <w:p w14:paraId="5CA942B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第十条 本制度由监事负责解释。</w:t>
      </w:r>
    </w:p>
    <w:p w14:paraId="6471C63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第十一条 本制度自提交理事会备案后执行。</w:t>
      </w:r>
    </w:p>
    <w:p w14:paraId="7BCE145A">
      <w:pPr>
        <w:widowControl/>
        <w:spacing w:before="156" w:beforeLines="50" w:after="156" w:afterLines="50" w:line="480" w:lineRule="exact"/>
        <w:jc w:val="left"/>
        <w:rPr>
          <w:rFonts w:ascii="宋体" w:hAnsi="宋体" w:eastAsia="宋体" w:cs="Times New Roman"/>
          <w:color w:val="000000" w:themeColor="text1"/>
          <w:kern w:val="0"/>
          <w:sz w:val="22"/>
          <w:szCs w:val="22"/>
          <w14:textFill>
            <w14:solidFill>
              <w14:schemeClr w14:val="tx1"/>
            </w14:solidFill>
          </w14:textFill>
        </w:rPr>
      </w:pPr>
    </w:p>
    <w:p w14:paraId="2BEFC1E0">
      <w:pPr>
        <w:spacing w:before="156" w:beforeLines="50" w:after="156" w:afterLines="50" w:line="480" w:lineRule="exact"/>
        <w:rPr>
          <w:rFonts w:ascii="宋体" w:hAnsi="宋体" w:eastAsia="宋体"/>
          <w:color w:val="000000" w:themeColor="text1"/>
          <w:sz w:val="32"/>
          <w:szCs w:val="32"/>
          <w14:textFill>
            <w14:solidFill>
              <w14:schemeClr w14:val="tx1"/>
            </w14:solidFill>
          </w14:textFill>
        </w:rPr>
      </w:pPr>
    </w:p>
    <w:p w14:paraId="27ED678C">
      <w:r>
        <w:br w:type="page"/>
      </w:r>
    </w:p>
    <w:p w14:paraId="59AA300A">
      <w:pPr>
        <w:pStyle w:val="2"/>
      </w:pPr>
      <w:bookmarkStart w:id="112" w:name="_Toc539637929_WPSOffice_Level1"/>
      <w:bookmarkStart w:id="113" w:name="_Toc1219552286"/>
      <w:bookmarkStart w:id="114" w:name="_Toc1746620228"/>
      <w:r>
        <w:t>北京中致儿童关爱</w:t>
      </w:r>
      <w:r>
        <w:rPr>
          <w:rFonts w:hint="eastAsia"/>
        </w:rPr>
        <w:t>基金会</w:t>
      </w:r>
      <w:bookmarkEnd w:id="112"/>
      <w:bookmarkEnd w:id="113"/>
      <w:bookmarkEnd w:id="114"/>
    </w:p>
    <w:p w14:paraId="7101C2BA">
      <w:pPr>
        <w:pStyle w:val="2"/>
      </w:pPr>
      <w:bookmarkStart w:id="115" w:name="_Toc388802637_WPSOffice_Level1"/>
      <w:bookmarkStart w:id="116" w:name="_Toc1431343834"/>
      <w:bookmarkStart w:id="117" w:name="_Toc1492201153"/>
      <w:bookmarkStart w:id="118" w:name="_Toc871231422_WPSOffice_Level1"/>
      <w:r>
        <w:rPr>
          <w:rFonts w:hint="eastAsia"/>
        </w:rPr>
        <w:t>资产管理制度</w:t>
      </w:r>
      <w:bookmarkEnd w:id="115"/>
      <w:bookmarkEnd w:id="116"/>
      <w:bookmarkEnd w:id="117"/>
      <w:bookmarkEnd w:id="118"/>
    </w:p>
    <w:p w14:paraId="6B984444">
      <w:pPr>
        <w:widowControl/>
        <w:shd w:val="clear" w:color="auto" w:fill="FFFFFF"/>
        <w:spacing w:before="156" w:beforeLines="50" w:after="156" w:afterLines="50" w:line="480" w:lineRule="exact"/>
        <w:ind w:firstLine="480" w:firstLineChars="200"/>
        <w:jc w:val="center"/>
        <w:rPr>
          <w:rFonts w:ascii="宋体" w:hAnsi="宋体" w:eastAsia="宋体" w:cs="Times New Roman"/>
          <w:color w:val="000000" w:themeColor="text1"/>
          <w:kern w:val="0"/>
          <w14:textFill>
            <w14:solidFill>
              <w14:schemeClr w14:val="tx1"/>
            </w14:solidFill>
          </w14:textFill>
        </w:rPr>
      </w:pPr>
      <w:bookmarkStart w:id="119" w:name="_Toc1960665885_WPSOffice_Level1"/>
      <w:bookmarkStart w:id="120" w:name="_Toc1243004308_WPSOffice_Level1"/>
      <w:r>
        <w:rPr>
          <w:rFonts w:hint="eastAsia" w:ascii="宋体" w:hAnsi="宋体" w:eastAsia="宋体" w:cs="Times New Roman"/>
          <w:b/>
          <w:bCs/>
          <w:color w:val="000000" w:themeColor="text1"/>
          <w:kern w:val="0"/>
          <w14:textFill>
            <w14:solidFill>
              <w14:schemeClr w14:val="tx1"/>
            </w14:solidFill>
          </w14:textFill>
        </w:rPr>
        <w:t>第一章  总 则</w:t>
      </w:r>
      <w:bookmarkEnd w:id="119"/>
      <w:bookmarkEnd w:id="120"/>
    </w:p>
    <w:p w14:paraId="4B7FD7B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第一条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为规范本基金会资产管理，根据《中华人民共和国公益事业捐赠法》、《基金会管理条例》《民政部关于印发&lt;关于规范基金会行为的若干规定（试行）&gt;的通知》《财政部关于印发&lt;民间非营利组织会计制度&gt;的通知》等规定和本基金会章程，结合实际，制定本制度。</w:t>
      </w:r>
    </w:p>
    <w:p w14:paraId="028380C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本制度所称资产管理主要指投资管理、固定资产管理及捐赠物资管理。</w:t>
      </w:r>
    </w:p>
    <w:p w14:paraId="09F0A22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第三条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本基金会资产管理的基本原则是：合法、谨慎、安全、有效。</w:t>
      </w:r>
    </w:p>
    <w:p w14:paraId="6F893A5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第四条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本基金会按照《民间非营利组织会计制度》对资产进行会计核算和披露。</w:t>
      </w:r>
    </w:p>
    <w:p w14:paraId="7E8FDE5B">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121" w:name="_Toc1922449627_WPSOffice_Level1"/>
      <w:bookmarkStart w:id="122" w:name="_Toc452486540_WPSOffice_Level1"/>
      <w:r>
        <w:rPr>
          <w:rFonts w:hint="eastAsia" w:ascii="宋体" w:hAnsi="宋体" w:eastAsia="宋体" w:cs="Times New Roman"/>
          <w:b/>
          <w:bCs/>
          <w:color w:val="000000" w:themeColor="text1"/>
          <w:kern w:val="0"/>
          <w14:textFill>
            <w14:solidFill>
              <w14:schemeClr w14:val="tx1"/>
            </w14:solidFill>
          </w14:textFill>
        </w:rPr>
        <w:t>第二章 投资管理</w:t>
      </w:r>
      <w:bookmarkEnd w:id="121"/>
      <w:bookmarkEnd w:id="122"/>
    </w:p>
    <w:p w14:paraId="705233F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第五条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基金会投资及资产的保值增值，依照基金会《保值增值投资管理办法》执行管理。</w:t>
      </w:r>
    </w:p>
    <w:p w14:paraId="1CA105D1">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123" w:name="_Toc701683753_WPSOffice_Level1"/>
      <w:bookmarkStart w:id="124" w:name="_Toc1719411874_WPSOffice_Level1"/>
      <w:r>
        <w:rPr>
          <w:rFonts w:hint="eastAsia" w:ascii="宋体" w:hAnsi="宋体" w:eastAsia="宋体" w:cs="Times New Roman"/>
          <w:b/>
          <w:bCs/>
          <w:color w:val="000000" w:themeColor="text1"/>
          <w:kern w:val="0"/>
          <w14:textFill>
            <w14:solidFill>
              <w14:schemeClr w14:val="tx1"/>
            </w14:solidFill>
          </w14:textFill>
        </w:rPr>
        <w:t>第三章 固定资产管理</w:t>
      </w:r>
      <w:bookmarkEnd w:id="123"/>
      <w:bookmarkEnd w:id="124"/>
    </w:p>
    <w:p w14:paraId="6868F07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第六条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基金会固定资产的管理与处置坚持统一核算、分工负责、物尽其用的原则。</w:t>
      </w:r>
    </w:p>
    <w:p w14:paraId="1CDE521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第七条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基金会的固定资产价值核算，严格执行《民间非营利组织会计制度》的相关规定。 </w:t>
      </w:r>
    </w:p>
    <w:p w14:paraId="17FFE0B3">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第八条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固定资产的购置和调入。购置和调入固定资产，必须按本基金会有关审批权限和程序报批，并相应做好验收工作。属于技术专用设备的还应会同有关专业技术人员共同验收。验收合格后，及时办理相应手续。</w:t>
      </w:r>
    </w:p>
    <w:p w14:paraId="4E5BEA2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第九条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固定资产的调出和报废。对使用年限已久，确无修复价值或因技术发展已丧失价值以及闲置的，要按规定及时处理，调出和报废固定资产，必须按本基金会审批权限报批。有处置收入的由出纳人员将所收取款项及时入账并开具收据</w:t>
      </w:r>
    </w:p>
    <w:p w14:paraId="37338E33">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固定资产的盘点和清查。基金会固定资产至少每年盘点一次、作到帐实相符。盘盈的固定资产应当按照其公允价值入账，并计入当期收入；盘亏的固定资产在减去过失人或保险公司等赔款和残料价值后计入当期费用。 </w:t>
      </w:r>
    </w:p>
    <w:p w14:paraId="4FE309C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第十一条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外部使用本单位的固定资产，要实行有偿使用制度，合理收取占用费、使用费。 </w:t>
      </w:r>
    </w:p>
    <w:p w14:paraId="53FBDE0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第十二条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任何组织和个人不得侵占、挪用或任意调拨基金会的固定资产。</w:t>
      </w:r>
    </w:p>
    <w:p w14:paraId="00829E1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第十三条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固定资产管理人员变动，及时办理交接手续。</w:t>
      </w:r>
    </w:p>
    <w:p w14:paraId="2DF7E4D9">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125" w:name="_Toc1366130994_WPSOffice_Level1"/>
      <w:bookmarkStart w:id="126" w:name="_Toc1615412286_WPSOffice_Level1"/>
      <w:r>
        <w:rPr>
          <w:rFonts w:hint="eastAsia" w:ascii="宋体" w:hAnsi="宋体" w:eastAsia="宋体" w:cs="Times New Roman"/>
          <w:b/>
          <w:bCs/>
          <w:color w:val="000000" w:themeColor="text1"/>
          <w:kern w:val="0"/>
          <w14:textFill>
            <w14:solidFill>
              <w14:schemeClr w14:val="tx1"/>
            </w14:solidFill>
          </w14:textFill>
        </w:rPr>
        <w:t>第四章 捐赠物资管理</w:t>
      </w:r>
      <w:bookmarkEnd w:id="125"/>
      <w:bookmarkEnd w:id="126"/>
    </w:p>
    <w:p w14:paraId="1A13226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第十四条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基金会接受食品、药品、医疗器械等捐赠物品，应当确保物品在到达最终受益人时仍处于保质期内且具有使用价值。</w:t>
      </w:r>
    </w:p>
    <w:p w14:paraId="6B1C09B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第十五条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基金会接受企业捐赠本企业生产的产品，应当要求企业提供产品质量认证证明或者产品合格证，以及受赠物品的品名、规格、种类、数量等相关资料。</w:t>
      </w:r>
    </w:p>
    <w:p w14:paraId="2DADCBC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第十六条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对于指定用于救助自然灾害等突发事件的受赠财产，用于应急的应当在应急期结束前使用完毕；用于灾后重建的应当在重建期结束前使用完毕。</w:t>
      </w:r>
    </w:p>
    <w:p w14:paraId="7F701B3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对确因特殊原因无法使用完毕的受赠财产，基金会可在取得捐赠人同意或在公开媒体上公示后，将受赠财产用于与原公益目的相近似的目的。</w:t>
      </w:r>
    </w:p>
    <w:p w14:paraId="0AD0D91C">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127" w:name="_Toc1815946081_WPSOffice_Level1"/>
      <w:bookmarkStart w:id="128" w:name="_Toc1746025428_WPSOffice_Level1"/>
      <w:r>
        <w:rPr>
          <w:rFonts w:hint="eastAsia" w:ascii="宋体" w:hAnsi="宋体" w:eastAsia="宋体" w:cs="Times New Roman"/>
          <w:b/>
          <w:bCs/>
          <w:color w:val="000000" w:themeColor="text1"/>
          <w:kern w:val="0"/>
          <w14:textFill>
            <w14:solidFill>
              <w14:schemeClr w14:val="tx1"/>
            </w14:solidFill>
          </w14:textFill>
        </w:rPr>
        <w:t>第五章 资产交易</w:t>
      </w:r>
      <w:bookmarkEnd w:id="127"/>
      <w:bookmarkEnd w:id="128"/>
    </w:p>
    <w:p w14:paraId="0925CFA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第十七条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基金会进行交换交易，应当保护自身和社会公众的合法权益。不得以低于公允价值的价格出售物资、提供服务、授权或者转让无形资产；不得以高于公允价值的价格购买产品和服务。</w:t>
      </w:r>
    </w:p>
    <w:p w14:paraId="0A9B1FC5">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第十八条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基金会理事、监事及其近亲属不得与本基金会有任何资产交易行为。</w:t>
      </w:r>
    </w:p>
    <w:p w14:paraId="7C1E789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第十九条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基金会不得从事以下行为：</w:t>
      </w:r>
    </w:p>
    <w:p w14:paraId="3805499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（一）向个人、企业直接提供与公益活动无关的借款；</w:t>
      </w:r>
    </w:p>
    <w:p w14:paraId="3DE6098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（二）以合作等任何名义直接宣传、促销、销售企业的产品和品牌，为企业及其产品提供信誉或者质量担保；</w:t>
      </w:r>
    </w:p>
    <w:p w14:paraId="3D08D67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（三）对外提供任何形式的经济担保或财产担保；</w:t>
      </w:r>
    </w:p>
    <w:p w14:paraId="17194DB5">
      <w:pPr>
        <w:widowControl/>
        <w:shd w:val="clear" w:color="auto" w:fill="FFFFFF"/>
        <w:spacing w:before="156" w:beforeLines="50" w:after="156" w:afterLines="50" w:line="480" w:lineRule="exact"/>
        <w:ind w:firstLine="480" w:firstLineChars="200"/>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（四）将本基金会的组织名称、公益项目品牌等其他应当用于公益目的的无形资产用于非公益目的；</w:t>
      </w:r>
    </w:p>
    <w:p w14:paraId="40C6D97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（五）基金会的资金投向期货、期权等衍生金融工具；</w:t>
      </w:r>
    </w:p>
    <w:p w14:paraId="27928E3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（六）从事可能使本基金会承担无限责任的投资；</w:t>
      </w:r>
    </w:p>
    <w:p w14:paraId="3C66ACD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（七）从事违背本基金会使命、可能损害信誉的投资；</w:t>
      </w:r>
    </w:p>
    <w:p w14:paraId="4A01C4A4">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（八）国家法律法规禁止的其他投资行为。</w:t>
      </w:r>
    </w:p>
    <w:p w14:paraId="40E1B02E">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129" w:name="_Toc568192203_WPSOffice_Level1"/>
      <w:bookmarkStart w:id="130" w:name="_Toc85332141_WPSOffice_Level1"/>
      <w:r>
        <w:rPr>
          <w:rFonts w:hint="eastAsia" w:ascii="宋体" w:hAnsi="宋体" w:eastAsia="宋体" w:cs="Times New Roman"/>
          <w:b/>
          <w:bCs/>
          <w:color w:val="000000" w:themeColor="text1"/>
          <w:kern w:val="0"/>
          <w14:textFill>
            <w14:solidFill>
              <w14:schemeClr w14:val="tx1"/>
            </w14:solidFill>
          </w14:textFill>
        </w:rPr>
        <w:t>第六章 管理责任</w:t>
      </w:r>
      <w:bookmarkEnd w:id="129"/>
      <w:bookmarkEnd w:id="130"/>
    </w:p>
    <w:p w14:paraId="2D309E1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本基金会的资产管理坚持统筹决策、各司其职相互配合、有效制衡的原则，建立资产管理责任体系和追踪问责制度，健全内部管控和制衡机制，有效防控风险，提高资产管理效能。</w:t>
      </w:r>
    </w:p>
    <w:p w14:paraId="3D2CC55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第二十一条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基金会投资决策与执行应当分离。建立规范的投资决策议事规则，投资计划必须经过理事会决策同意方可执行。理事会授权理事长或投资管理委员会等开展投资活动的，投资方案也应当报经理事会决策同意。</w:t>
      </w:r>
    </w:p>
    <w:p w14:paraId="799BB2A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投资决策记录应载明投资事项、参与表决理事的意见和签名，并存入档案。执行情况应定期向理事会汇报。</w:t>
      </w:r>
    </w:p>
    <w:p w14:paraId="6520DFB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第二十二条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理事会对资产管理履行以下决策职责：</w:t>
      </w:r>
    </w:p>
    <w:p w14:paraId="393475A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（一）制定资产管理的具体规定；</w:t>
      </w:r>
    </w:p>
    <w:p w14:paraId="2C919A2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（二）确定年度投资计划和资产处置计划； </w:t>
      </w:r>
    </w:p>
    <w:p w14:paraId="68D2820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（三）决定投资方案；</w:t>
      </w:r>
    </w:p>
    <w:p w14:paraId="6ED366E3">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（四）检查、监督资产管理落实工作；</w:t>
      </w:r>
    </w:p>
    <w:p w14:paraId="3F1F0794">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（五）其他有关资产管理的重要事项。</w:t>
      </w:r>
    </w:p>
    <w:p w14:paraId="24728F03">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第二十三条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理事遇有个人利益与本基金会资产利益关联时，不得参与相关事宜的决策。</w:t>
      </w:r>
    </w:p>
    <w:p w14:paraId="59E51C3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第二十四条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本制度规定由理事会审批的事项，履行基金会章程规定的决策程序。</w:t>
      </w:r>
    </w:p>
    <w:p w14:paraId="45773CD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第二十五条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u w:val="single"/>
          <w14:textFill>
            <w14:solidFill>
              <w14:schemeClr w14:val="tx1"/>
            </w14:solidFill>
          </w14:textFill>
        </w:rPr>
        <w:t>秘书长</w:t>
      </w:r>
      <w:r>
        <w:rPr>
          <w:rFonts w:hint="eastAsia" w:ascii="宋体" w:hAnsi="宋体" w:eastAsia="宋体" w:cs="Times New Roman"/>
          <w:color w:val="000000" w:themeColor="text1"/>
          <w:kern w:val="0"/>
          <w14:textFill>
            <w14:solidFill>
              <w14:schemeClr w14:val="tx1"/>
            </w14:solidFill>
          </w14:textFill>
        </w:rPr>
        <w:t>履行以下管理职责：</w:t>
      </w:r>
    </w:p>
    <w:p w14:paraId="0A6526E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（一）执行理事会制定的投资战略、具体规定及其他有关决议；</w:t>
      </w:r>
    </w:p>
    <w:p w14:paraId="6591FA8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（二）执行年度投资计划和资产处置计划，负责相关投资管理和资产处置落实工作；</w:t>
      </w:r>
    </w:p>
    <w:p w14:paraId="2C44F6F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（三）负责对投资资产的监督管理和固定资产的日常管理；</w:t>
      </w:r>
    </w:p>
    <w:p w14:paraId="6CC441F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会同财务人员做好非现金资产盘点、登记和管理工作，做到账实相符、账表相符； </w:t>
      </w:r>
    </w:p>
    <w:p w14:paraId="40239CD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（五）完成理事会授权和交办的其他资产管理工作。</w:t>
      </w:r>
    </w:p>
    <w:p w14:paraId="3143A99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第二十六条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基金会财务人员在理事会领导下，履行基金会资产财会管理职责</w:t>
      </w:r>
    </w:p>
    <w:p w14:paraId="0BCE9B8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（一）负责资产的财务管理和会计核算；</w:t>
      </w:r>
    </w:p>
    <w:p w14:paraId="1031DD1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（二）建立健全资产内部会计控制与财务监督制度，依法依规编制资产管理财务报表，保证会计资料合法、真实、准确、完整；</w:t>
      </w:r>
    </w:p>
    <w:p w14:paraId="63FC958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（三）参与固定资产的清查盘点；</w:t>
      </w:r>
    </w:p>
    <w:p w14:paraId="6C01166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（四）依法进行审计；</w:t>
      </w:r>
    </w:p>
    <w:p w14:paraId="00C5A71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（五）依法履行财务信息披露义务； </w:t>
      </w:r>
    </w:p>
    <w:p w14:paraId="39A7FB64">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（六）完成理事会授权和交办的其他工作。</w:t>
      </w:r>
    </w:p>
    <w:p w14:paraId="7C64039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第二十七条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按照不相容职务分离的要求，会计岗位、出纳岗位和投资岗位的人员不得相互兼任。  </w:t>
      </w:r>
    </w:p>
    <w:p w14:paraId="23EAC27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第二十八条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基金会人员发生以下行为，视情节轻重对有关责任人给予相应处理；造成资产损失的，应当承担相应赔偿责任；涉嫌犯罪的，移交司法机关处理</w:t>
      </w:r>
    </w:p>
    <w:p w14:paraId="0033774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（一）理事会违反《基金会管理条例》和章程规定决策不当，致使基金会遭受财产损失；</w:t>
      </w:r>
    </w:p>
    <w:p w14:paraId="5174623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（二）未经规定程序审批，擅自投资或处置资产；</w:t>
      </w:r>
    </w:p>
    <w:p w14:paraId="78E7EBD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（三）玩忽职守造成资产损失； </w:t>
      </w:r>
    </w:p>
    <w:p w14:paraId="74503B0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（四）营私舞弊，以基金会资产为自己或他人谋取私利；</w:t>
      </w:r>
    </w:p>
    <w:p w14:paraId="44F548C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（五）私分、侵占、挪用基金会资产；</w:t>
      </w:r>
    </w:p>
    <w:p w14:paraId="10F67814">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（六）其他违反制度规定，造成资产损失或损害本基金会信誉的行为。</w:t>
      </w:r>
    </w:p>
    <w:p w14:paraId="5A69530F">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131" w:name="_Toc1805701238_WPSOffice_Level1"/>
      <w:bookmarkStart w:id="132" w:name="_Toc1313132513_WPSOffice_Level1"/>
      <w:r>
        <w:rPr>
          <w:rFonts w:hint="eastAsia" w:ascii="宋体" w:hAnsi="宋体" w:eastAsia="宋体" w:cs="Times New Roman"/>
          <w:b/>
          <w:bCs/>
          <w:color w:val="000000" w:themeColor="text1"/>
          <w:kern w:val="0"/>
          <w14:textFill>
            <w14:solidFill>
              <w14:schemeClr w14:val="tx1"/>
            </w14:solidFill>
          </w14:textFill>
        </w:rPr>
        <w:t>第七章  附 则</w:t>
      </w:r>
      <w:bookmarkEnd w:id="131"/>
      <w:bookmarkEnd w:id="132"/>
    </w:p>
    <w:p w14:paraId="15A43E5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 xml:space="preserve">第二十九条 </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本制度未尽事宜或与有关规定不一致的，按有关规定执行。</w:t>
      </w:r>
    </w:p>
    <w:p w14:paraId="58F86BE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第三十条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本制度由理事会负责解释。</w:t>
      </w:r>
    </w:p>
    <w:p w14:paraId="4D50E7D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bookmarkStart w:id="133" w:name="_Toc181807662_WPSOffice_Level1"/>
      <w:bookmarkStart w:id="134" w:name="_Toc128705772_WPSOffice_Level1"/>
      <w:r>
        <w:rPr>
          <w:rFonts w:hint="eastAsia" w:ascii="宋体" w:hAnsi="宋体" w:eastAsia="宋体" w:cs="Times New Roman"/>
          <w:color w:val="000000" w:themeColor="text1"/>
          <w:kern w:val="0"/>
          <w14:textFill>
            <w14:solidFill>
              <w14:schemeClr w14:val="tx1"/>
            </w14:solidFill>
          </w14:textFill>
        </w:rPr>
        <w:t>第三十一条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本制度自理事会审议通过后执行。</w:t>
      </w:r>
      <w:bookmarkEnd w:id="133"/>
      <w:bookmarkEnd w:id="134"/>
    </w:p>
    <w:p w14:paraId="33DA27C6">
      <w:r>
        <w:br w:type="page"/>
      </w:r>
    </w:p>
    <w:p w14:paraId="5334B184">
      <w:pPr>
        <w:pStyle w:val="2"/>
      </w:pPr>
      <w:bookmarkStart w:id="135" w:name="_Toc484004344"/>
      <w:bookmarkStart w:id="136" w:name="_Toc641877475_WPSOffice_Level1"/>
      <w:bookmarkStart w:id="137" w:name="_Toc1110748805"/>
      <w:r>
        <w:rPr>
          <w:rFonts w:hint="eastAsia"/>
        </w:rPr>
        <w:t>北京中致儿童关爱基金会</w:t>
      </w:r>
      <w:bookmarkEnd w:id="135"/>
      <w:bookmarkEnd w:id="136"/>
      <w:bookmarkEnd w:id="137"/>
    </w:p>
    <w:p w14:paraId="1B6FEB75">
      <w:pPr>
        <w:pStyle w:val="2"/>
        <w:rPr>
          <w:rFonts w:ascii="宋体" w:hAnsi="宋体" w:eastAsia="宋体" w:cs="Times New Roman"/>
        </w:rPr>
      </w:pPr>
      <w:bookmarkStart w:id="138" w:name="_Toc1224363444_WPSOffice_Level1"/>
      <w:bookmarkStart w:id="139" w:name="_Toc1561135519_WPSOffice_Level1"/>
      <w:bookmarkStart w:id="140" w:name="_Toc2140438419"/>
      <w:bookmarkStart w:id="141" w:name="_Toc279822264"/>
      <w:r>
        <w:rPr>
          <w:rFonts w:hint="eastAsia"/>
        </w:rPr>
        <w:t>项目管理制度</w:t>
      </w:r>
      <w:bookmarkEnd w:id="138"/>
      <w:bookmarkEnd w:id="139"/>
      <w:bookmarkEnd w:id="140"/>
      <w:bookmarkEnd w:id="141"/>
    </w:p>
    <w:p w14:paraId="2FA8B97A">
      <w:pPr>
        <w:pStyle w:val="38"/>
        <w:numPr>
          <w:ilvl w:val="0"/>
          <w:numId w:val="4"/>
        </w:numPr>
        <w:spacing w:line="450" w:lineRule="atLeast"/>
        <w:ind w:left="0" w:firstLine="547" w:firstLineChars="228"/>
        <w:rPr>
          <w:rFonts w:ascii="宋体" w:hAnsi="宋体" w:eastAsia="宋体" w:cs="Songti SC Regular"/>
        </w:rPr>
      </w:pPr>
      <w:r>
        <w:rPr>
          <w:rFonts w:hint="eastAsia" w:ascii="宋体" w:hAnsi="宋体" w:eastAsia="宋体" w:cs="Songti SC Regular"/>
        </w:rPr>
        <w:t>目的：</w:t>
      </w:r>
    </w:p>
    <w:p w14:paraId="76E04C37">
      <w:pPr>
        <w:pStyle w:val="38"/>
        <w:spacing w:line="450" w:lineRule="atLeast"/>
        <w:ind w:left="0" w:firstLine="547" w:firstLineChars="228"/>
        <w:rPr>
          <w:rFonts w:ascii="宋体" w:hAnsi="宋体" w:eastAsia="宋体" w:cs="Songti SC Regular"/>
        </w:rPr>
      </w:pPr>
      <w:r>
        <w:rPr>
          <w:rFonts w:hint="eastAsia" w:ascii="宋体" w:hAnsi="宋体" w:eastAsia="宋体" w:cs="Songti SC Regular"/>
        </w:rPr>
        <w:t>为了更好地规范基金会的项目管理工作，让项目的运行合理、合规、合法，顺利达成项目目标，维护基金会、捐赠方和受益方的合法权益，结合基金会宗旨和章程的规定，根据公益项目的特点，制定本制度。本制度包含项目立项、项目实施、项目资金、项目评估、项目信息管理等方面。</w:t>
      </w:r>
    </w:p>
    <w:p w14:paraId="15D8E473">
      <w:pPr>
        <w:spacing w:line="450" w:lineRule="atLeast"/>
        <w:ind w:firstLine="547" w:firstLineChars="228"/>
        <w:rPr>
          <w:rFonts w:ascii="宋体" w:hAnsi="宋体" w:eastAsia="宋体" w:cs="Songti SC Regular"/>
        </w:rPr>
      </w:pPr>
    </w:p>
    <w:p w14:paraId="3CC0DD07">
      <w:pPr>
        <w:pStyle w:val="38"/>
        <w:numPr>
          <w:ilvl w:val="0"/>
          <w:numId w:val="4"/>
        </w:numPr>
        <w:spacing w:line="450" w:lineRule="atLeast"/>
        <w:ind w:left="0" w:firstLine="547" w:firstLineChars="228"/>
        <w:rPr>
          <w:rFonts w:ascii="宋体" w:hAnsi="宋体" w:eastAsia="宋体" w:cs="Songti SC Regular"/>
        </w:rPr>
      </w:pPr>
      <w:r>
        <w:rPr>
          <w:rFonts w:hint="eastAsia" w:ascii="宋体" w:hAnsi="宋体" w:eastAsia="宋体" w:cs="Songti SC Regular"/>
        </w:rPr>
        <w:t>项目立项管理：</w:t>
      </w:r>
    </w:p>
    <w:p w14:paraId="4DEC39CC">
      <w:pPr>
        <w:pStyle w:val="38"/>
        <w:numPr>
          <w:ilvl w:val="0"/>
          <w:numId w:val="5"/>
        </w:numPr>
        <w:spacing w:line="450" w:lineRule="atLeast"/>
        <w:ind w:left="0" w:firstLine="547" w:firstLineChars="228"/>
        <w:rPr>
          <w:rFonts w:ascii="宋体" w:hAnsi="宋体" w:eastAsia="宋体" w:cs="Songti SC Regular"/>
        </w:rPr>
      </w:pPr>
      <w:r>
        <w:rPr>
          <w:rFonts w:hint="eastAsia" w:ascii="宋体" w:hAnsi="宋体" w:eastAsia="宋体" w:cs="Songti SC Regular"/>
        </w:rPr>
        <w:t>项目立项考虑的相关因素：项目立项管理须符合基金会宗旨和章程的有关规定，综合考虑项目的</w:t>
      </w:r>
      <w:r>
        <w:rPr>
          <w:rFonts w:hint="eastAsia" w:ascii="宋体" w:hAnsi="宋体" w:eastAsia="宋体" w:cs="Songti SC Regular"/>
          <w:highlight w:val="yellow"/>
        </w:rPr>
        <w:t>公益性、合法性、可行性及持续性</w:t>
      </w:r>
      <w:r>
        <w:rPr>
          <w:rFonts w:hint="eastAsia" w:ascii="宋体" w:hAnsi="宋体" w:eastAsia="宋体" w:cs="Songti SC Regular"/>
        </w:rPr>
        <w:t>；</w:t>
      </w:r>
    </w:p>
    <w:p w14:paraId="7A72224B">
      <w:pPr>
        <w:pStyle w:val="38"/>
        <w:numPr>
          <w:ilvl w:val="0"/>
          <w:numId w:val="5"/>
        </w:numPr>
        <w:spacing w:line="450" w:lineRule="atLeast"/>
        <w:ind w:left="0" w:firstLine="547" w:firstLineChars="228"/>
        <w:rPr>
          <w:rFonts w:ascii="宋体" w:hAnsi="宋体" w:eastAsia="宋体" w:cs="Songti SC Regular"/>
        </w:rPr>
      </w:pPr>
      <w:r>
        <w:rPr>
          <w:rFonts w:hint="eastAsia" w:ascii="宋体" w:hAnsi="宋体" w:eastAsia="宋体" w:cs="Songti SC Regular"/>
        </w:rPr>
        <w:t>项目</w:t>
      </w:r>
      <w:r>
        <w:rPr>
          <w:rFonts w:hint="eastAsia" w:ascii="宋体" w:hAnsi="宋体" w:eastAsia="宋体" w:cs="Songti SC Regular"/>
          <w:highlight w:val="yellow"/>
        </w:rPr>
        <w:t>立项报告</w:t>
      </w:r>
      <w:r>
        <w:rPr>
          <w:rFonts w:hint="eastAsia" w:ascii="宋体" w:hAnsi="宋体" w:eastAsia="宋体" w:cs="Songti SC Regular"/>
        </w:rPr>
        <w:t>：内容包括项目概述、实施背景、社会意义、项目受益人、可行性分析、项目推进计划（实施目标、内容、进度、预算）、团队介绍（外部团队执行项目时）、评估方法等内容；</w:t>
      </w:r>
    </w:p>
    <w:p w14:paraId="079A99A0">
      <w:pPr>
        <w:pStyle w:val="38"/>
        <w:numPr>
          <w:ilvl w:val="0"/>
          <w:numId w:val="5"/>
        </w:numPr>
        <w:spacing w:line="450" w:lineRule="atLeast"/>
        <w:ind w:left="0" w:firstLine="547" w:firstLineChars="228"/>
        <w:rPr>
          <w:rFonts w:ascii="宋体" w:hAnsi="宋体" w:eastAsia="宋体" w:cs="Songti SC Regular"/>
        </w:rPr>
      </w:pPr>
      <w:r>
        <w:rPr>
          <w:rFonts w:hint="eastAsia" w:ascii="宋体" w:hAnsi="宋体" w:eastAsia="宋体" w:cs="Songti SC Regular"/>
          <w:highlight w:val="yellow"/>
        </w:rPr>
        <w:t>立项审批</w:t>
      </w:r>
      <w:r>
        <w:rPr>
          <w:rFonts w:hint="eastAsia" w:ascii="宋体" w:hAnsi="宋体" w:eastAsia="宋体" w:cs="Songti SC Regular"/>
        </w:rPr>
        <w:t>：常规项目的立项可由秘书长初审，在综合考虑公益性、合法性、可行性、社会效果、财务支持等因素后做出决定；重大项目的立项需提交理事会会议，经理事会成员讨论后作出决定。</w:t>
      </w:r>
    </w:p>
    <w:p w14:paraId="510444B3">
      <w:pPr>
        <w:spacing w:line="450" w:lineRule="atLeast"/>
        <w:ind w:firstLine="547" w:firstLineChars="228"/>
        <w:rPr>
          <w:rFonts w:ascii="宋体" w:hAnsi="宋体" w:eastAsia="宋体" w:cs="Songti SC Regular"/>
        </w:rPr>
      </w:pPr>
    </w:p>
    <w:p w14:paraId="2BCC5BFF">
      <w:pPr>
        <w:pStyle w:val="38"/>
        <w:numPr>
          <w:ilvl w:val="0"/>
          <w:numId w:val="4"/>
        </w:numPr>
        <w:spacing w:line="450" w:lineRule="atLeast"/>
        <w:ind w:left="0" w:firstLine="547" w:firstLineChars="228"/>
        <w:rPr>
          <w:rFonts w:ascii="宋体" w:hAnsi="宋体" w:eastAsia="宋体" w:cs="Songti SC Regular"/>
        </w:rPr>
      </w:pPr>
      <w:r>
        <w:rPr>
          <w:rFonts w:hint="eastAsia" w:ascii="宋体" w:hAnsi="宋体" w:eastAsia="宋体" w:cs="Songti SC Regular"/>
        </w:rPr>
        <w:t>项目实施管理：</w:t>
      </w:r>
    </w:p>
    <w:p w14:paraId="59F21EBA">
      <w:pPr>
        <w:pStyle w:val="38"/>
        <w:numPr>
          <w:ilvl w:val="0"/>
          <w:numId w:val="6"/>
        </w:numPr>
        <w:spacing w:line="450" w:lineRule="atLeast"/>
        <w:ind w:left="0" w:firstLine="547" w:firstLineChars="228"/>
        <w:rPr>
          <w:rFonts w:ascii="宋体" w:hAnsi="宋体" w:eastAsia="宋体" w:cs="Songti SC Regular"/>
        </w:rPr>
      </w:pPr>
      <w:r>
        <w:rPr>
          <w:rFonts w:hint="eastAsia" w:ascii="宋体" w:hAnsi="宋体" w:eastAsia="宋体" w:cs="Songti SC Regular"/>
        </w:rPr>
        <w:t>基金会秘书长统筹安排所有的项目工作，包括项目的立项、实施、评估及相关合作；</w:t>
      </w:r>
    </w:p>
    <w:p w14:paraId="38919E49">
      <w:pPr>
        <w:pStyle w:val="38"/>
        <w:numPr>
          <w:ilvl w:val="0"/>
          <w:numId w:val="6"/>
        </w:numPr>
        <w:spacing w:line="450" w:lineRule="atLeast"/>
        <w:ind w:left="0" w:firstLine="547" w:firstLineChars="228"/>
        <w:rPr>
          <w:rFonts w:ascii="宋体" w:hAnsi="宋体" w:eastAsia="宋体" w:cs="Songti SC Regular"/>
        </w:rPr>
      </w:pPr>
      <w:r>
        <w:rPr>
          <w:rFonts w:hint="eastAsia" w:ascii="宋体" w:hAnsi="宋体" w:eastAsia="宋体" w:cs="Songti SC Regular"/>
        </w:rPr>
        <w:t>定期总结制度：项目执行期内，每隔三个月进行一次季度总结，对照《项目立项报告》，检查执行过程是否有所偏离或需要改进之处。项目执行满一年，进行年度总结，对过去一年内的项目发展、取得的效果进行整体评价，明确未来一年的项目执行规划；</w:t>
      </w:r>
    </w:p>
    <w:p w14:paraId="457232C2">
      <w:pPr>
        <w:pStyle w:val="38"/>
        <w:numPr>
          <w:ilvl w:val="0"/>
          <w:numId w:val="6"/>
        </w:numPr>
        <w:spacing w:line="450" w:lineRule="atLeast"/>
        <w:ind w:left="0" w:firstLine="547" w:firstLineChars="228"/>
        <w:rPr>
          <w:rFonts w:ascii="宋体" w:hAnsi="宋体" w:eastAsia="宋体" w:cs="Songti SC Regular"/>
        </w:rPr>
      </w:pPr>
      <w:r>
        <w:rPr>
          <w:rFonts w:hint="eastAsia" w:ascii="宋体" w:hAnsi="宋体" w:eastAsia="宋体" w:cs="Songti SC Regular"/>
        </w:rPr>
        <w:t>资金管理制度：依据基金会的《财务管理制度》，基金会的各项收入和支出纳入预算统一管理。项目资金安排及使用遵照基金会的《财务管理制度》的规定执行。</w:t>
      </w:r>
    </w:p>
    <w:p w14:paraId="491206F4">
      <w:pPr>
        <w:spacing w:line="450" w:lineRule="atLeast"/>
        <w:ind w:firstLine="547" w:firstLineChars="228"/>
        <w:rPr>
          <w:rFonts w:ascii="宋体" w:hAnsi="宋体" w:eastAsia="宋体" w:cs="Songti SC Regular"/>
        </w:rPr>
      </w:pPr>
      <w:r>
        <w:rPr>
          <w:rFonts w:hint="eastAsia" w:ascii="宋体" w:hAnsi="宋体" w:eastAsia="宋体" w:cs="Songti SC Regular"/>
        </w:rPr>
        <w:t>    </w:t>
      </w:r>
    </w:p>
    <w:p w14:paraId="53A1AD9C">
      <w:pPr>
        <w:pStyle w:val="38"/>
        <w:numPr>
          <w:ilvl w:val="0"/>
          <w:numId w:val="4"/>
        </w:numPr>
        <w:spacing w:line="450" w:lineRule="atLeast"/>
        <w:ind w:left="0" w:firstLine="547" w:firstLineChars="228"/>
        <w:rPr>
          <w:rFonts w:ascii="宋体" w:hAnsi="宋体" w:eastAsia="宋体" w:cs="Songti SC Regular"/>
        </w:rPr>
      </w:pPr>
      <w:r>
        <w:rPr>
          <w:rFonts w:hint="eastAsia" w:ascii="宋体" w:hAnsi="宋体" w:eastAsia="宋体" w:cs="Songti SC Regular"/>
        </w:rPr>
        <w:t>项目评估管理：</w:t>
      </w:r>
    </w:p>
    <w:p w14:paraId="7C8E13E2">
      <w:pPr>
        <w:pStyle w:val="38"/>
        <w:numPr>
          <w:ilvl w:val="0"/>
          <w:numId w:val="7"/>
        </w:numPr>
        <w:spacing w:line="450" w:lineRule="atLeast"/>
        <w:ind w:left="0" w:firstLine="547" w:firstLineChars="228"/>
        <w:rPr>
          <w:rFonts w:ascii="宋体" w:hAnsi="宋体" w:eastAsia="宋体" w:cs="Songti SC Regular"/>
        </w:rPr>
      </w:pPr>
      <w:r>
        <w:rPr>
          <w:rFonts w:hint="eastAsia" w:ascii="宋体" w:hAnsi="宋体" w:eastAsia="宋体" w:cs="Songti SC Regular"/>
        </w:rPr>
        <w:t>定期评估制度：根据季度总结和年度总结，每隔一年对项目进行一次整体评估，包括项目实施管理、项目资金使用、项目实际效果、项目相对方反馈、项目管理者反馈，评估后形成书面评估意见，在召开理事会时，由秘书长向理事会成员汇报；</w:t>
      </w:r>
    </w:p>
    <w:p w14:paraId="719DB99D">
      <w:pPr>
        <w:pStyle w:val="38"/>
        <w:numPr>
          <w:ilvl w:val="0"/>
          <w:numId w:val="7"/>
        </w:numPr>
        <w:spacing w:line="450" w:lineRule="atLeast"/>
        <w:ind w:left="0" w:firstLine="547" w:firstLineChars="228"/>
        <w:rPr>
          <w:rFonts w:ascii="宋体" w:hAnsi="宋体" w:eastAsia="宋体" w:cs="Songti SC Regular"/>
        </w:rPr>
      </w:pPr>
      <w:r>
        <w:rPr>
          <w:rFonts w:hint="eastAsia" w:ascii="宋体" w:hAnsi="宋体" w:eastAsia="宋体" w:cs="Songti SC Regular"/>
        </w:rPr>
        <w:t>评估的意义：从多角度客观评价项目的优缺点，为当前项目的实施提供建议，为后续项目的开展提供意见。</w:t>
      </w:r>
    </w:p>
    <w:p w14:paraId="4AE6A742">
      <w:pPr>
        <w:spacing w:line="450" w:lineRule="atLeast"/>
        <w:ind w:firstLine="547" w:firstLineChars="228"/>
        <w:rPr>
          <w:rFonts w:ascii="宋体" w:hAnsi="宋体" w:eastAsia="宋体" w:cs="Songti SC Regular"/>
        </w:rPr>
      </w:pPr>
      <w:r>
        <w:rPr>
          <w:rFonts w:hint="eastAsia" w:ascii="宋体" w:hAnsi="宋体" w:eastAsia="宋体" w:cs="Songti SC Regular"/>
        </w:rPr>
        <w:t> </w:t>
      </w:r>
    </w:p>
    <w:p w14:paraId="0DAB661F">
      <w:pPr>
        <w:pStyle w:val="38"/>
        <w:numPr>
          <w:ilvl w:val="0"/>
          <w:numId w:val="4"/>
        </w:numPr>
        <w:spacing w:line="450" w:lineRule="atLeast"/>
        <w:ind w:left="0" w:firstLine="547" w:firstLineChars="228"/>
        <w:rPr>
          <w:rFonts w:ascii="宋体" w:hAnsi="宋体" w:eastAsia="宋体" w:cs="Songti SC Regular"/>
        </w:rPr>
      </w:pPr>
      <w:r>
        <w:rPr>
          <w:rFonts w:hint="eastAsia" w:ascii="宋体" w:hAnsi="宋体" w:eastAsia="宋体" w:cs="Songti SC Regular"/>
        </w:rPr>
        <w:t>项目信息管理：</w:t>
      </w:r>
    </w:p>
    <w:p w14:paraId="03797042">
      <w:pPr>
        <w:pStyle w:val="38"/>
        <w:numPr>
          <w:ilvl w:val="0"/>
          <w:numId w:val="8"/>
        </w:numPr>
        <w:spacing w:line="450" w:lineRule="atLeast"/>
        <w:ind w:left="0" w:firstLine="547" w:firstLineChars="228"/>
        <w:rPr>
          <w:rFonts w:ascii="宋体" w:hAnsi="宋体" w:eastAsia="宋体" w:cs="Songti SC Regular"/>
        </w:rPr>
      </w:pPr>
      <w:r>
        <w:rPr>
          <w:rFonts w:hint="eastAsia" w:ascii="宋体" w:hAnsi="宋体" w:eastAsia="宋体" w:cs="Songti SC Regular"/>
        </w:rPr>
        <w:t>建立项目档案：基金会办公室负责收集项目执行的各种档案，包括项目的立项报告、评估报告、捐赠协议、合作协议及相关电子信息（图文资料）进行统一管理，确保项目档案的完整性；</w:t>
      </w:r>
    </w:p>
    <w:p w14:paraId="64D441E8">
      <w:pPr>
        <w:pStyle w:val="38"/>
        <w:numPr>
          <w:ilvl w:val="0"/>
          <w:numId w:val="8"/>
        </w:numPr>
        <w:spacing w:line="450" w:lineRule="atLeast"/>
        <w:ind w:left="0" w:firstLine="547" w:firstLineChars="228"/>
        <w:rPr>
          <w:rFonts w:ascii="宋体" w:hAnsi="宋体" w:eastAsia="宋体" w:cs="Songti SC Regular"/>
        </w:rPr>
      </w:pPr>
      <w:r>
        <w:rPr>
          <w:rFonts w:hint="eastAsia" w:ascii="宋体" w:hAnsi="宋体" w:eastAsia="宋体" w:cs="Songti SC Regular"/>
        </w:rPr>
        <w:t>建立基金会档案：在基金会办公室建立完整的基金会的纸质档案，以便主管部门及相关方查阅。</w:t>
      </w:r>
    </w:p>
    <w:p w14:paraId="3DF14862">
      <w:pPr>
        <w:pStyle w:val="38"/>
        <w:numPr>
          <w:ilvl w:val="0"/>
          <w:numId w:val="8"/>
        </w:numPr>
        <w:spacing w:line="450" w:lineRule="atLeast"/>
        <w:ind w:left="0" w:firstLine="547" w:firstLineChars="228"/>
        <w:rPr>
          <w:rFonts w:ascii="宋体" w:hAnsi="宋体" w:eastAsia="宋体" w:cs="Songti SC Regular"/>
        </w:rPr>
      </w:pPr>
      <w:r>
        <w:rPr>
          <w:rFonts w:hint="eastAsia" w:ascii="宋体" w:hAnsi="宋体" w:eastAsia="宋体" w:cs="Songti SC Regular"/>
        </w:rPr>
        <w:t>根据法律规定及基金会《信息公开制度》公示项目进展：</w:t>
      </w:r>
    </w:p>
    <w:p w14:paraId="6C72AF0A">
      <w:pPr>
        <w:pStyle w:val="38"/>
        <w:numPr>
          <w:ilvl w:val="0"/>
          <w:numId w:val="9"/>
        </w:numPr>
        <w:spacing w:line="450" w:lineRule="atLeast"/>
        <w:ind w:left="0" w:firstLine="547" w:firstLineChars="228"/>
        <w:rPr>
          <w:rFonts w:ascii="宋体" w:hAnsi="宋体" w:eastAsia="宋体" w:cs="Songti SC Regular"/>
        </w:rPr>
      </w:pPr>
      <w:r>
        <w:rPr>
          <w:rFonts w:hint="eastAsia" w:ascii="宋体" w:hAnsi="宋体" w:eastAsia="宋体" w:cs="Songti SC Regular"/>
        </w:rPr>
        <w:t>根据《慈善组织信息公开办法》规定，在民政部门指定的信息公开平台定期公示项目情况</w:t>
      </w:r>
    </w:p>
    <w:p w14:paraId="06B211DD">
      <w:pPr>
        <w:pStyle w:val="38"/>
        <w:numPr>
          <w:ilvl w:val="0"/>
          <w:numId w:val="9"/>
        </w:numPr>
        <w:spacing w:line="450" w:lineRule="atLeast"/>
        <w:ind w:left="0" w:firstLine="547" w:firstLineChars="228"/>
        <w:rPr>
          <w:rFonts w:ascii="宋体" w:hAnsi="宋体" w:eastAsia="宋体" w:cs="Songti SC Regular"/>
        </w:rPr>
      </w:pPr>
      <w:r>
        <w:rPr>
          <w:rFonts w:hint="eastAsia" w:ascii="宋体" w:hAnsi="宋体" w:eastAsia="宋体" w:cs="Songti SC Regular"/>
        </w:rPr>
        <w:t>基金会与具有公募资格的基金会联合发起网络公开募捐时，在民政部门指定的互联网募捐信息平台上按照要求公示项目信息</w:t>
      </w:r>
    </w:p>
    <w:p w14:paraId="78640F3E">
      <w:pPr>
        <w:pStyle w:val="38"/>
        <w:numPr>
          <w:ilvl w:val="0"/>
          <w:numId w:val="9"/>
        </w:numPr>
        <w:spacing w:line="450" w:lineRule="atLeast"/>
        <w:ind w:left="0" w:firstLine="547" w:firstLineChars="228"/>
        <w:rPr>
          <w:rFonts w:ascii="宋体" w:hAnsi="宋体" w:eastAsia="宋体" w:cs="Songti SC Regular"/>
        </w:rPr>
      </w:pPr>
      <w:r>
        <w:rPr>
          <w:rFonts w:hint="eastAsia" w:ascii="宋体" w:hAnsi="宋体" w:eastAsia="宋体" w:cs="Songti SC Regular"/>
        </w:rPr>
        <w:t>在基金会官网上定期更新项目信息和进展</w:t>
      </w:r>
    </w:p>
    <w:p w14:paraId="31A9B410">
      <w:pPr>
        <w:spacing w:line="450" w:lineRule="atLeast"/>
        <w:ind w:firstLine="547" w:firstLineChars="228"/>
        <w:rPr>
          <w:rFonts w:ascii="宋体" w:hAnsi="宋体" w:eastAsia="宋体" w:cs="Songti SC Regular"/>
        </w:rPr>
      </w:pPr>
    </w:p>
    <w:p w14:paraId="566D8B13">
      <w:pPr>
        <w:pStyle w:val="38"/>
        <w:spacing w:line="450" w:lineRule="atLeast"/>
        <w:ind w:left="0" w:firstLine="600" w:firstLineChars="250"/>
        <w:rPr>
          <w:rFonts w:ascii="宋体" w:hAnsi="宋体" w:eastAsia="宋体" w:cs="Songti SC Regular"/>
        </w:rPr>
      </w:pPr>
      <w:r>
        <w:rPr>
          <w:rFonts w:hint="eastAsia" w:ascii="宋体" w:hAnsi="宋体" w:eastAsia="宋体" w:cs="Songti SC Regular"/>
        </w:rPr>
        <w:t>第六条 本制度未尽事宜或与有关规定不一致的，按有关规定执行。慈善信托的管理依照《慈善信托管理制度》执行。</w:t>
      </w:r>
    </w:p>
    <w:p w14:paraId="437D39C2">
      <w:pPr>
        <w:pStyle w:val="38"/>
        <w:spacing w:line="450" w:lineRule="atLeast"/>
        <w:ind w:left="0" w:firstLine="547" w:firstLineChars="228"/>
        <w:rPr>
          <w:rFonts w:ascii="宋体" w:hAnsi="宋体" w:eastAsia="宋体" w:cs="Songti SC Regular"/>
        </w:rPr>
      </w:pPr>
    </w:p>
    <w:p w14:paraId="361DA9DC">
      <w:pPr>
        <w:pStyle w:val="38"/>
        <w:spacing w:line="450" w:lineRule="atLeast"/>
        <w:ind w:left="0" w:firstLine="547" w:firstLineChars="228"/>
        <w:rPr>
          <w:rFonts w:ascii="宋体" w:hAnsi="宋体" w:eastAsia="宋体" w:cs="Songti SC Regular"/>
        </w:rPr>
      </w:pPr>
      <w:r>
        <w:rPr>
          <w:rFonts w:hint="eastAsia" w:ascii="宋体" w:hAnsi="宋体" w:eastAsia="宋体" w:cs="Songti SC Regular"/>
        </w:rPr>
        <w:t>第七条 本制度由理事会负责解释。</w:t>
      </w:r>
    </w:p>
    <w:p w14:paraId="2B0A235B">
      <w:pPr>
        <w:pStyle w:val="38"/>
        <w:spacing w:line="450" w:lineRule="atLeast"/>
        <w:ind w:left="0" w:firstLine="547" w:firstLineChars="228"/>
        <w:rPr>
          <w:rFonts w:ascii="宋体" w:hAnsi="宋体" w:eastAsia="宋体" w:cs="Songti SC Regular"/>
        </w:rPr>
      </w:pPr>
    </w:p>
    <w:p w14:paraId="3EFB2A02">
      <w:pPr>
        <w:pStyle w:val="15"/>
        <w:shd w:val="clear" w:color="auto" w:fill="FFFFFF"/>
        <w:spacing w:before="156" w:beforeLines="50" w:beforeAutospacing="0" w:after="156" w:afterLines="50" w:afterAutospacing="0" w:line="480" w:lineRule="exact"/>
        <w:ind w:firstLine="547" w:firstLineChars="228"/>
        <w:rPr>
          <w:rFonts w:ascii="宋体" w:hAnsi="宋体" w:eastAsia="宋体" w:cs="Songti SC Regular"/>
          <w:sz w:val="24"/>
          <w:szCs w:val="24"/>
        </w:rPr>
      </w:pPr>
      <w:r>
        <w:rPr>
          <w:rFonts w:hint="eastAsia" w:ascii="宋体" w:hAnsi="宋体" w:eastAsia="宋体" w:cs="Songti SC Regular"/>
          <w:sz w:val="24"/>
          <w:szCs w:val="24"/>
        </w:rPr>
        <w:t>第八条  本制度经理事会审议通过后执行。</w:t>
      </w:r>
    </w:p>
    <w:p w14:paraId="4487614C">
      <w:pPr>
        <w:pStyle w:val="38"/>
        <w:spacing w:line="450" w:lineRule="atLeast"/>
        <w:ind w:left="0"/>
        <w:rPr>
          <w:rFonts w:ascii="宋体" w:hAnsi="宋体" w:eastAsia="宋体" w:cs="Times New Roman"/>
        </w:rPr>
      </w:pPr>
    </w:p>
    <w:p w14:paraId="18AC80E5">
      <w:pPr>
        <w:pStyle w:val="38"/>
        <w:spacing w:line="450" w:lineRule="atLeast"/>
        <w:ind w:left="0"/>
        <w:rPr>
          <w:rFonts w:ascii="宋体" w:hAnsi="宋体" w:eastAsia="宋体" w:cs="Times New Roman"/>
        </w:rPr>
      </w:pPr>
    </w:p>
    <w:p w14:paraId="2CD99454">
      <w:pPr>
        <w:pStyle w:val="2"/>
      </w:pPr>
      <w:bookmarkStart w:id="142" w:name="_Toc688097754_WPSOffice_Level1"/>
      <w:bookmarkStart w:id="143" w:name="_Toc1849937236"/>
      <w:bookmarkStart w:id="144" w:name="_Toc2131087765"/>
      <w:r>
        <w:t>北京中致儿童关爱</w:t>
      </w:r>
      <w:r>
        <w:rPr>
          <w:rFonts w:hint="eastAsia"/>
        </w:rPr>
        <w:t>基金会</w:t>
      </w:r>
      <w:bookmarkEnd w:id="142"/>
      <w:bookmarkEnd w:id="143"/>
      <w:bookmarkEnd w:id="144"/>
    </w:p>
    <w:p w14:paraId="321C2AC4">
      <w:pPr>
        <w:pStyle w:val="2"/>
      </w:pPr>
      <w:bookmarkStart w:id="145" w:name="_Toc659512383_WPSOffice_Level1"/>
      <w:bookmarkStart w:id="146" w:name="_Toc345731720_WPSOffice_Level1"/>
      <w:bookmarkStart w:id="147" w:name="_Toc626884186"/>
      <w:bookmarkStart w:id="148" w:name="_Toc1459801689"/>
      <w:r>
        <w:rPr>
          <w:rFonts w:hint="eastAsia"/>
        </w:rPr>
        <w:t>关联交易管理制度</w:t>
      </w:r>
      <w:bookmarkEnd w:id="145"/>
      <w:bookmarkEnd w:id="146"/>
      <w:bookmarkEnd w:id="147"/>
      <w:bookmarkEnd w:id="148"/>
    </w:p>
    <w:p w14:paraId="7DA16948">
      <w:pPr>
        <w:spacing w:before="156" w:beforeLines="50" w:after="156" w:afterLines="50" w:line="480" w:lineRule="exact"/>
        <w:jc w:val="center"/>
        <w:rPr>
          <w:rFonts w:eastAsia="宋体"/>
          <w:b/>
          <w:bCs/>
          <w:color w:val="000000" w:themeColor="text1"/>
          <w14:textFill>
            <w14:solidFill>
              <w14:schemeClr w14:val="tx1"/>
            </w14:solidFill>
          </w14:textFill>
        </w:rPr>
      </w:pPr>
      <w:bookmarkStart w:id="149" w:name="_Toc1769752905_WPSOffice_Level1"/>
      <w:bookmarkStart w:id="150" w:name="_Toc1261518914_WPSOffice_Level1"/>
      <w:r>
        <w:rPr>
          <w:rFonts w:hint="eastAsia" w:eastAsia="宋体"/>
          <w:b/>
          <w:bCs/>
          <w:color w:val="000000" w:themeColor="text1"/>
          <w14:textFill>
            <w14:solidFill>
              <w14:schemeClr w14:val="tx1"/>
            </w14:solidFill>
          </w14:textFill>
        </w:rPr>
        <w:t xml:space="preserve">第一章 </w:t>
      </w:r>
      <w:r>
        <w:rPr>
          <w:rFonts w:eastAsia="宋体"/>
          <w:b/>
          <w:bCs/>
          <w:color w:val="000000" w:themeColor="text1"/>
          <w14:textFill>
            <w14:solidFill>
              <w14:schemeClr w14:val="tx1"/>
            </w14:solidFill>
          </w14:textFill>
        </w:rPr>
        <w:t xml:space="preserve"> </w:t>
      </w:r>
      <w:r>
        <w:rPr>
          <w:rFonts w:hint="eastAsia" w:eastAsia="宋体"/>
          <w:b/>
          <w:bCs/>
          <w:color w:val="000000" w:themeColor="text1"/>
          <w14:textFill>
            <w14:solidFill>
              <w14:schemeClr w14:val="tx1"/>
            </w14:solidFill>
          </w14:textFill>
        </w:rPr>
        <w:t>总则</w:t>
      </w:r>
      <w:bookmarkEnd w:id="149"/>
      <w:bookmarkEnd w:id="150"/>
    </w:p>
    <w:p w14:paraId="3450E552">
      <w:pPr>
        <w:spacing w:before="156" w:beforeLines="50" w:after="156" w:afterLines="50" w:line="480" w:lineRule="exact"/>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    第一条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根据《基金会管理条例》及其他法律法规的规定以及本基金会章程，为了保证基金会与关联方之间发生的关联交易符合公平、公正、公开原则，确保基金会关联交易不损害基金会的利益，特制定本制度。</w:t>
      </w:r>
    </w:p>
    <w:p w14:paraId="1E7A3F80">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第二条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基金会的关联交易，是指基金会和具有关联关系的关联人之间发生的转移资源或权利、义务的事项。</w:t>
      </w:r>
    </w:p>
    <w:p w14:paraId="52E2DAA1">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第三条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基金会关联关系应当遵循以下原则：</w:t>
      </w:r>
    </w:p>
    <w:p w14:paraId="63EA371D">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（一）公平、公开、公正的原则；</w:t>
      </w:r>
    </w:p>
    <w:p w14:paraId="2B515191">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（二）平等、自愿、有偿、等价的原则；</w:t>
      </w:r>
    </w:p>
    <w:p w14:paraId="69B2EF15">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（三）基金会不得利用关联关系损害基金会合法权益；</w:t>
      </w:r>
    </w:p>
    <w:p w14:paraId="108AD671">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（四）基金会做关联交易表决时候，有必要的可以聘请专业的财务、法律机构出具专业意见。</w:t>
      </w:r>
    </w:p>
    <w:p w14:paraId="39517069">
      <w:pPr>
        <w:spacing w:before="156" w:beforeLines="50" w:after="156" w:afterLines="50" w:line="480" w:lineRule="exact"/>
        <w:ind w:firstLine="480" w:firstLineChars="200"/>
        <w:jc w:val="center"/>
        <w:rPr>
          <w:rFonts w:eastAsia="宋体"/>
          <w:b/>
          <w:bCs/>
          <w:color w:val="000000" w:themeColor="text1"/>
          <w14:textFill>
            <w14:solidFill>
              <w14:schemeClr w14:val="tx1"/>
            </w14:solidFill>
          </w14:textFill>
        </w:rPr>
      </w:pPr>
      <w:bookmarkStart w:id="151" w:name="_Toc1588563385_WPSOffice_Level1"/>
      <w:bookmarkStart w:id="152" w:name="_Toc242340767_WPSOffice_Level1"/>
      <w:r>
        <w:rPr>
          <w:rFonts w:hint="eastAsia" w:eastAsia="宋体"/>
          <w:b/>
          <w:bCs/>
          <w:color w:val="000000" w:themeColor="text1"/>
          <w14:textFill>
            <w14:solidFill>
              <w14:schemeClr w14:val="tx1"/>
            </w14:solidFill>
          </w14:textFill>
        </w:rPr>
        <w:t>第二章 关联人和关联交易范围</w:t>
      </w:r>
      <w:bookmarkEnd w:id="151"/>
      <w:bookmarkEnd w:id="152"/>
    </w:p>
    <w:p w14:paraId="0452514D">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第四条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本制度</w:t>
      </w:r>
      <w:r>
        <w:rPr>
          <w:rFonts w:eastAsia="宋体"/>
          <w:color w:val="000000" w:themeColor="text1"/>
          <w14:textFill>
            <w14:solidFill>
              <w14:schemeClr w14:val="tx1"/>
            </w14:solidFill>
          </w14:textFill>
        </w:rPr>
        <w:t>所称</w:t>
      </w:r>
      <w:r>
        <w:rPr>
          <w:rFonts w:hint="eastAsia" w:eastAsia="宋体"/>
          <w:color w:val="000000" w:themeColor="text1"/>
          <w14:textFill>
            <w14:solidFill>
              <w14:schemeClr w14:val="tx1"/>
            </w14:solidFill>
          </w14:textFill>
        </w:rPr>
        <w:t>的</w:t>
      </w:r>
      <w:r>
        <w:rPr>
          <w:rFonts w:eastAsia="宋体"/>
          <w:color w:val="000000" w:themeColor="text1"/>
          <w14:textFill>
            <w14:solidFill>
              <w14:schemeClr w14:val="tx1"/>
            </w14:solidFill>
          </w14:textFill>
        </w:rPr>
        <w:t>关联关系，是指基金会的发起人、理事主要来源单位、投资的被投资方以及其他与基金会之间存在控制、共同控制或者重大影响关系的个人或者组织与基金会之间的关系。</w:t>
      </w:r>
    </w:p>
    <w:p w14:paraId="6505B2B0">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第五条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关联人具体包括：具有关联关系的自然人、法人和其他组织。</w:t>
      </w:r>
    </w:p>
    <w:p w14:paraId="26A5013A">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第六条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关联关系的自然人包括，基金会的发起人、基金会的理事、专项基金的负责人、副秘书长以上职务的工作人员等，以及上述人员的近亲属。</w:t>
      </w:r>
    </w:p>
    <w:p w14:paraId="232CC824">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第七条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关联关系的法人和其他组织包括，具有关联关系的自然人直接或者间接控制的企业、法人或者其他组织。</w:t>
      </w:r>
    </w:p>
    <w:p w14:paraId="0806DE27">
      <w:pPr>
        <w:spacing w:before="156" w:beforeLines="50" w:after="156" w:afterLines="50" w:line="480" w:lineRule="exact"/>
        <w:ind w:firstLine="56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第八条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本制度所指的关联交易包括但不限于下列事项：</w:t>
      </w:r>
    </w:p>
    <w:p w14:paraId="0A85462D">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（一）基金会出资购买或向基金会销售商品或者服务；</w:t>
      </w:r>
    </w:p>
    <w:p w14:paraId="35E1F52E">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（二）向基金会提供或者需要支付酬劳的劳务；</w:t>
      </w:r>
    </w:p>
    <w:p w14:paraId="3887AE78">
      <w:pPr>
        <w:spacing w:before="156" w:beforeLines="50" w:after="156" w:afterLines="50" w:line="480" w:lineRule="exact"/>
        <w:ind w:firstLine="360" w:firstLineChars="15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（三）有偿代理、租赁；</w:t>
      </w:r>
    </w:p>
    <w:p w14:paraId="483CF361">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（四）基金会向关联人提供资金；</w:t>
      </w:r>
    </w:p>
    <w:p w14:paraId="6551BC82">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（五）向关联人发生基金会的保值增值业务；</w:t>
      </w:r>
    </w:p>
    <w:p w14:paraId="0BB9B320">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（六）管理方面的合同；</w:t>
      </w:r>
    </w:p>
    <w:p w14:paraId="6E199BAD">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（七）授权许可协议。</w:t>
      </w:r>
    </w:p>
    <w:p w14:paraId="67763FDF">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第九条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本制度禁止的关联交易行为包括：</w:t>
      </w:r>
    </w:p>
    <w:p w14:paraId="3E7D29F3">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（一）由基金会向关联人自然人和关联法人提供担保；</w:t>
      </w:r>
    </w:p>
    <w:p w14:paraId="62BF243F">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（二）关联自然人不得与基金会有任何有偿交易行为，为关联人员发放薪酬福利的除外。</w:t>
      </w:r>
    </w:p>
    <w:p w14:paraId="59DE5DFA">
      <w:pPr>
        <w:spacing w:before="156" w:beforeLines="50" w:after="156" w:afterLines="50" w:line="480" w:lineRule="exact"/>
        <w:ind w:firstLine="480" w:firstLineChars="200"/>
        <w:jc w:val="center"/>
        <w:rPr>
          <w:rFonts w:eastAsia="宋体"/>
          <w:b/>
          <w:bCs/>
          <w:color w:val="000000" w:themeColor="text1"/>
          <w14:textFill>
            <w14:solidFill>
              <w14:schemeClr w14:val="tx1"/>
            </w14:solidFill>
          </w14:textFill>
        </w:rPr>
      </w:pPr>
      <w:bookmarkStart w:id="153" w:name="_Toc1468112191_WPSOffice_Level1"/>
      <w:bookmarkStart w:id="154" w:name="_Toc1392276257_WPSOffice_Level1"/>
      <w:r>
        <w:rPr>
          <w:rFonts w:hint="eastAsia" w:eastAsia="宋体"/>
          <w:b/>
          <w:bCs/>
          <w:color w:val="000000" w:themeColor="text1"/>
          <w14:textFill>
            <w14:solidFill>
              <w14:schemeClr w14:val="tx1"/>
            </w14:solidFill>
          </w14:textFill>
        </w:rPr>
        <w:t>第三章 关联交易决策</w:t>
      </w:r>
      <w:bookmarkEnd w:id="153"/>
      <w:bookmarkEnd w:id="154"/>
    </w:p>
    <w:p w14:paraId="42C81889">
      <w:pPr>
        <w:spacing w:before="156" w:beforeLines="50" w:after="156" w:afterLines="50" w:line="480" w:lineRule="exact"/>
        <w:ind w:left="56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第十条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关联交易决策应符合以下条件：</w:t>
      </w:r>
    </w:p>
    <w:p w14:paraId="11621C02">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（一）关联</w:t>
      </w:r>
      <w:r>
        <w:rPr>
          <w:rFonts w:eastAsia="宋体"/>
          <w:color w:val="000000" w:themeColor="text1"/>
          <w14:textFill>
            <w14:solidFill>
              <w14:schemeClr w14:val="tx1"/>
            </w14:solidFill>
          </w14:textFill>
        </w:rPr>
        <w:t>交易</w:t>
      </w:r>
      <w:r>
        <w:rPr>
          <w:rFonts w:hint="eastAsia" w:eastAsia="宋体"/>
          <w:color w:val="000000" w:themeColor="text1"/>
          <w14:textFill>
            <w14:solidFill>
              <w14:schemeClr w14:val="tx1"/>
            </w14:solidFill>
          </w14:textFill>
        </w:rPr>
        <w:t>须由</w:t>
      </w:r>
      <w:r>
        <w:rPr>
          <w:rFonts w:eastAsia="宋体"/>
          <w:color w:val="000000" w:themeColor="text1"/>
          <w14:textFill>
            <w14:solidFill>
              <w14:schemeClr w14:val="tx1"/>
            </w14:solidFill>
          </w14:textFill>
        </w:rPr>
        <w:t>理事会表决；</w:t>
      </w:r>
    </w:p>
    <w:p w14:paraId="7BD94334">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（二）三分之二以上</w:t>
      </w:r>
      <w:r>
        <w:rPr>
          <w:rFonts w:eastAsia="宋体"/>
          <w:color w:val="000000" w:themeColor="text1"/>
          <w14:textFill>
            <w14:solidFill>
              <w14:schemeClr w14:val="tx1"/>
            </w14:solidFill>
          </w14:textFill>
        </w:rPr>
        <w:t>无关联</w:t>
      </w:r>
      <w:r>
        <w:rPr>
          <w:rFonts w:hint="eastAsia" w:eastAsia="宋体"/>
          <w:color w:val="000000" w:themeColor="text1"/>
          <w14:textFill>
            <w14:solidFill>
              <w14:schemeClr w14:val="tx1"/>
            </w14:solidFill>
          </w14:textFill>
        </w:rPr>
        <w:t>关系理事</w:t>
      </w:r>
      <w:r>
        <w:rPr>
          <w:rFonts w:eastAsia="宋体"/>
          <w:color w:val="000000" w:themeColor="text1"/>
          <w14:textFill>
            <w14:solidFill>
              <w14:schemeClr w14:val="tx1"/>
            </w14:solidFill>
          </w14:textFill>
        </w:rPr>
        <w:t>出席；</w:t>
      </w:r>
    </w:p>
    <w:p w14:paraId="58F410DC">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（三）属于</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基金会</w:t>
      </w:r>
      <w:r>
        <w:rPr>
          <w:rFonts w:eastAsia="宋体"/>
          <w:color w:val="000000" w:themeColor="text1"/>
          <w14:textFill>
            <w14:solidFill>
              <w14:schemeClr w14:val="tx1"/>
            </w14:solidFill>
          </w14:textFill>
        </w:rPr>
        <w:t>管理条例》</w:t>
      </w:r>
      <w:r>
        <w:rPr>
          <w:rFonts w:hint="eastAsia" w:eastAsia="宋体"/>
          <w:color w:val="000000" w:themeColor="text1"/>
          <w14:textFill>
            <w14:solidFill>
              <w14:schemeClr w14:val="tx1"/>
            </w14:solidFill>
          </w14:textFill>
        </w:rPr>
        <w:t>或</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基金会</w:t>
      </w:r>
      <w:r>
        <w:rPr>
          <w:rFonts w:eastAsia="宋体"/>
          <w:color w:val="000000" w:themeColor="text1"/>
          <w14:textFill>
            <w14:solidFill>
              <w14:schemeClr w14:val="tx1"/>
            </w14:solidFill>
          </w14:textFill>
        </w:rPr>
        <w:t>章程》</w:t>
      </w:r>
      <w:r>
        <w:rPr>
          <w:rFonts w:hint="eastAsia" w:eastAsia="宋体"/>
          <w:color w:val="000000" w:themeColor="text1"/>
          <w14:textFill>
            <w14:solidFill>
              <w14:schemeClr w14:val="tx1"/>
            </w14:solidFill>
          </w14:textFill>
        </w:rPr>
        <w:t>规定</w:t>
      </w:r>
      <w:r>
        <w:rPr>
          <w:rFonts w:eastAsia="宋体"/>
          <w:color w:val="000000" w:themeColor="text1"/>
          <w14:textFill>
            <w14:solidFill>
              <w14:schemeClr w14:val="tx1"/>
            </w14:solidFill>
          </w14:textFill>
        </w:rPr>
        <w:t>的重大事项</w:t>
      </w:r>
      <w:r>
        <w:rPr>
          <w:rFonts w:hint="eastAsia" w:eastAsia="宋体"/>
          <w:color w:val="000000" w:themeColor="text1"/>
          <w14:textFill>
            <w14:solidFill>
              <w14:schemeClr w14:val="tx1"/>
            </w14:solidFill>
          </w14:textFill>
        </w:rPr>
        <w:t>的</w:t>
      </w:r>
      <w:r>
        <w:rPr>
          <w:rFonts w:eastAsia="宋体"/>
          <w:color w:val="000000" w:themeColor="text1"/>
          <w14:textFill>
            <w14:solidFill>
              <w14:schemeClr w14:val="tx1"/>
            </w14:solidFill>
          </w14:textFill>
        </w:rPr>
        <w:t>，须经</w:t>
      </w:r>
      <w:r>
        <w:rPr>
          <w:rFonts w:hint="eastAsia" w:eastAsia="宋体"/>
          <w:color w:val="000000" w:themeColor="text1"/>
          <w14:textFill>
            <w14:solidFill>
              <w14:schemeClr w14:val="tx1"/>
            </w14:solidFill>
          </w14:textFill>
        </w:rPr>
        <w:t>全体理</w:t>
      </w:r>
      <w:r>
        <w:rPr>
          <w:rFonts w:eastAsia="宋体"/>
          <w:color w:val="000000" w:themeColor="text1"/>
          <w14:textFill>
            <w14:solidFill>
              <w14:schemeClr w14:val="tx1"/>
            </w14:solidFill>
          </w14:textFill>
        </w:rPr>
        <w:t>事</w:t>
      </w:r>
      <w:r>
        <w:rPr>
          <w:rFonts w:hint="eastAsia" w:eastAsia="宋体"/>
          <w:color w:val="000000" w:themeColor="text1"/>
          <w14:textFill>
            <w14:solidFill>
              <w14:schemeClr w14:val="tx1"/>
            </w14:solidFill>
          </w14:textFill>
        </w:rPr>
        <w:t>三分之二以上</w:t>
      </w:r>
      <w:r>
        <w:rPr>
          <w:rFonts w:eastAsia="宋体"/>
          <w:color w:val="000000" w:themeColor="text1"/>
          <w14:textFill>
            <w14:solidFill>
              <w14:schemeClr w14:val="tx1"/>
            </w14:solidFill>
          </w14:textFill>
        </w:rPr>
        <w:t>通过方为有效；</w:t>
      </w:r>
    </w:p>
    <w:p w14:paraId="2637A236">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（四）关联理事不得参与</w:t>
      </w:r>
      <w:r>
        <w:rPr>
          <w:rFonts w:eastAsia="宋体"/>
          <w:color w:val="000000" w:themeColor="text1"/>
          <w14:textFill>
            <w14:solidFill>
              <w14:schemeClr w14:val="tx1"/>
            </w14:solidFill>
          </w14:textFill>
        </w:rPr>
        <w:t>决策</w:t>
      </w:r>
      <w:r>
        <w:rPr>
          <w:rFonts w:hint="eastAsia" w:eastAsia="宋体"/>
          <w:color w:val="000000" w:themeColor="text1"/>
          <w14:textFill>
            <w14:solidFill>
              <w14:schemeClr w14:val="tx1"/>
            </w14:solidFill>
          </w14:textFill>
        </w:rPr>
        <w:t>。</w:t>
      </w:r>
    </w:p>
    <w:p w14:paraId="3F56C6BC">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第十一</w:t>
      </w:r>
      <w:r>
        <w:rPr>
          <w:rFonts w:eastAsia="宋体"/>
          <w:color w:val="000000" w:themeColor="text1"/>
          <w14:textFill>
            <w14:solidFill>
              <w14:schemeClr w14:val="tx1"/>
            </w14:solidFill>
          </w14:textFill>
        </w:rPr>
        <w:t xml:space="preserve">条  </w:t>
      </w:r>
      <w:r>
        <w:rPr>
          <w:rFonts w:hint="eastAsia" w:eastAsia="宋体"/>
          <w:color w:val="000000" w:themeColor="text1"/>
          <w14:textFill>
            <w14:solidFill>
              <w14:schemeClr w14:val="tx1"/>
            </w14:solidFill>
          </w14:textFill>
        </w:rPr>
        <w:t>根据</w:t>
      </w:r>
      <w:r>
        <w:rPr>
          <w:rFonts w:eastAsia="宋体"/>
          <w:color w:val="000000" w:themeColor="text1"/>
          <w14:textFill>
            <w14:solidFill>
              <w14:schemeClr w14:val="tx1"/>
            </w14:solidFill>
          </w14:textFill>
        </w:rPr>
        <w:t>本章规定</w:t>
      </w:r>
      <w:r>
        <w:rPr>
          <w:rFonts w:hint="eastAsia" w:eastAsia="宋体"/>
          <w:color w:val="000000" w:themeColor="text1"/>
          <w14:textFill>
            <w14:solidFill>
              <w14:schemeClr w14:val="tx1"/>
            </w14:solidFill>
          </w14:textFill>
        </w:rPr>
        <w:t>批准</w:t>
      </w:r>
      <w:r>
        <w:rPr>
          <w:rFonts w:eastAsia="宋体"/>
          <w:color w:val="000000" w:themeColor="text1"/>
          <w14:textFill>
            <w14:solidFill>
              <w14:schemeClr w14:val="tx1"/>
            </w14:solidFill>
          </w14:textFill>
        </w:rPr>
        <w:t>实施的关联交易，基金会关联人在基金会签署</w:t>
      </w:r>
      <w:r>
        <w:rPr>
          <w:rFonts w:hint="eastAsia" w:eastAsia="宋体"/>
          <w:color w:val="000000" w:themeColor="text1"/>
          <w14:textFill>
            <w14:solidFill>
              <w14:schemeClr w14:val="tx1"/>
            </w14:solidFill>
          </w14:textFill>
        </w:rPr>
        <w:t>涉及</w:t>
      </w:r>
      <w:r>
        <w:rPr>
          <w:rFonts w:eastAsia="宋体"/>
          <w:color w:val="000000" w:themeColor="text1"/>
          <w14:textFill>
            <w14:solidFill>
              <w14:schemeClr w14:val="tx1"/>
            </w14:solidFill>
          </w14:textFill>
        </w:rPr>
        <w:t>关联交易的协议时，应当</w:t>
      </w:r>
      <w:r>
        <w:rPr>
          <w:rFonts w:hint="eastAsia" w:eastAsia="宋体"/>
          <w:color w:val="000000" w:themeColor="text1"/>
          <w14:textFill>
            <w14:solidFill>
              <w14:schemeClr w14:val="tx1"/>
            </w14:solidFill>
          </w14:textFill>
        </w:rPr>
        <w:t>采取</w:t>
      </w:r>
      <w:r>
        <w:rPr>
          <w:rFonts w:eastAsia="宋体"/>
          <w:color w:val="000000" w:themeColor="text1"/>
          <w14:textFill>
            <w14:solidFill>
              <w14:schemeClr w14:val="tx1"/>
            </w14:solidFill>
          </w14:textFill>
        </w:rPr>
        <w:t>必要的回避措施</w:t>
      </w:r>
      <w:r>
        <w:rPr>
          <w:rFonts w:hint="eastAsia" w:eastAsia="宋体"/>
          <w:color w:val="000000" w:themeColor="text1"/>
          <w14:textFill>
            <w14:solidFill>
              <w14:schemeClr w14:val="tx1"/>
            </w14:solidFill>
          </w14:textFill>
        </w:rPr>
        <w:t>：</w:t>
      </w:r>
    </w:p>
    <w:p w14:paraId="7F130152">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 （一）任何人</w:t>
      </w:r>
      <w:r>
        <w:rPr>
          <w:rFonts w:eastAsia="宋体"/>
          <w:color w:val="000000" w:themeColor="text1"/>
          <w14:textFill>
            <w14:solidFill>
              <w14:schemeClr w14:val="tx1"/>
            </w14:solidFill>
          </w14:textFill>
        </w:rPr>
        <w:t>只能代表</w:t>
      </w:r>
      <w:r>
        <w:rPr>
          <w:rFonts w:hint="eastAsia" w:eastAsia="宋体"/>
          <w:color w:val="000000" w:themeColor="text1"/>
          <w14:textFill>
            <w14:solidFill>
              <w14:schemeClr w14:val="tx1"/>
            </w14:solidFill>
          </w14:textFill>
        </w:rPr>
        <w:t>一方</w:t>
      </w:r>
      <w:r>
        <w:rPr>
          <w:rFonts w:eastAsia="宋体"/>
          <w:color w:val="000000" w:themeColor="text1"/>
          <w14:textFill>
            <w14:solidFill>
              <w14:schemeClr w14:val="tx1"/>
            </w14:solidFill>
          </w14:textFill>
        </w:rPr>
        <w:t>签署协议；</w:t>
      </w:r>
    </w:p>
    <w:p w14:paraId="17269DA1">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 （二）关联人</w:t>
      </w:r>
      <w:r>
        <w:rPr>
          <w:rFonts w:eastAsia="宋体"/>
          <w:color w:val="000000" w:themeColor="text1"/>
          <w14:textFill>
            <w14:solidFill>
              <w14:schemeClr w14:val="tx1"/>
            </w14:solidFill>
          </w14:textFill>
        </w:rPr>
        <w:t>不得以任何方式干预基金会的</w:t>
      </w:r>
      <w:r>
        <w:rPr>
          <w:rFonts w:hint="eastAsia" w:eastAsia="宋体"/>
          <w:color w:val="000000" w:themeColor="text1"/>
          <w14:textFill>
            <w14:solidFill>
              <w14:schemeClr w14:val="tx1"/>
            </w14:solidFill>
          </w14:textFill>
        </w:rPr>
        <w:t>决定</w:t>
      </w:r>
      <w:r>
        <w:rPr>
          <w:rFonts w:eastAsia="宋体"/>
          <w:color w:val="000000" w:themeColor="text1"/>
          <w14:textFill>
            <w14:solidFill>
              <w14:schemeClr w14:val="tx1"/>
            </w14:solidFill>
          </w14:textFill>
        </w:rPr>
        <w:t>。</w:t>
      </w:r>
    </w:p>
    <w:p w14:paraId="3F79E043">
      <w:pPr>
        <w:spacing w:before="156" w:beforeLines="50" w:after="156" w:afterLines="50" w:line="480" w:lineRule="exact"/>
        <w:ind w:firstLine="480" w:firstLineChars="200"/>
        <w:jc w:val="center"/>
        <w:rPr>
          <w:rFonts w:eastAsia="宋体"/>
          <w:b/>
          <w:bCs/>
          <w:color w:val="000000" w:themeColor="text1"/>
          <w14:textFill>
            <w14:solidFill>
              <w14:schemeClr w14:val="tx1"/>
            </w14:solidFill>
          </w14:textFill>
        </w:rPr>
      </w:pPr>
      <w:bookmarkStart w:id="155" w:name="_Toc1005233687_WPSOffice_Level1"/>
      <w:bookmarkStart w:id="156" w:name="_Toc2121973754_WPSOffice_Level1"/>
      <w:r>
        <w:rPr>
          <w:rFonts w:hint="eastAsia" w:eastAsia="宋体"/>
          <w:b/>
          <w:bCs/>
          <w:color w:val="000000" w:themeColor="text1"/>
          <w14:textFill>
            <w14:solidFill>
              <w14:schemeClr w14:val="tx1"/>
            </w14:solidFill>
          </w14:textFill>
        </w:rPr>
        <w:t>第四章 信息</w:t>
      </w:r>
      <w:r>
        <w:rPr>
          <w:rFonts w:eastAsia="宋体"/>
          <w:b/>
          <w:bCs/>
          <w:color w:val="000000" w:themeColor="text1"/>
          <w14:textFill>
            <w14:solidFill>
              <w14:schemeClr w14:val="tx1"/>
            </w14:solidFill>
          </w14:textFill>
        </w:rPr>
        <w:t>公开</w:t>
      </w:r>
      <w:bookmarkEnd w:id="155"/>
      <w:bookmarkEnd w:id="156"/>
    </w:p>
    <w:p w14:paraId="419D3BB6">
      <w:pPr>
        <w:spacing w:before="156" w:beforeLines="50" w:after="156" w:afterLines="50" w:line="480" w:lineRule="exact"/>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第十二条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基金会</w:t>
      </w:r>
      <w:r>
        <w:rPr>
          <w:rFonts w:eastAsia="宋体"/>
          <w:color w:val="000000" w:themeColor="text1"/>
          <w14:textFill>
            <w14:solidFill>
              <w14:schemeClr w14:val="tx1"/>
            </w14:solidFill>
          </w14:textFill>
        </w:rPr>
        <w:t>进行关联交易的，应当依法进行</w:t>
      </w:r>
      <w:r>
        <w:rPr>
          <w:rFonts w:hint="eastAsia" w:eastAsia="宋体"/>
          <w:color w:val="000000" w:themeColor="text1"/>
          <w14:textFill>
            <w14:solidFill>
              <w14:schemeClr w14:val="tx1"/>
            </w14:solidFill>
          </w14:textFill>
        </w:rPr>
        <w:t>信息</w:t>
      </w:r>
      <w:r>
        <w:rPr>
          <w:rFonts w:eastAsia="宋体"/>
          <w:color w:val="000000" w:themeColor="text1"/>
          <w14:textFill>
            <w14:solidFill>
              <w14:schemeClr w14:val="tx1"/>
            </w14:solidFill>
          </w14:textFill>
        </w:rPr>
        <w:t>公开</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信息</w:t>
      </w:r>
      <w:r>
        <w:rPr>
          <w:rFonts w:hint="eastAsia" w:eastAsia="宋体"/>
          <w:color w:val="000000" w:themeColor="text1"/>
          <w14:textFill>
            <w14:solidFill>
              <w14:schemeClr w14:val="tx1"/>
            </w14:solidFill>
          </w14:textFill>
        </w:rPr>
        <w:t>公开</w:t>
      </w:r>
      <w:r>
        <w:rPr>
          <w:rFonts w:eastAsia="宋体"/>
          <w:color w:val="000000" w:themeColor="text1"/>
          <w14:textFill>
            <w14:solidFill>
              <w14:schemeClr w14:val="tx1"/>
            </w14:solidFill>
          </w14:textFill>
        </w:rPr>
        <w:t>应当真实、完整、及时。</w:t>
      </w:r>
    </w:p>
    <w:p w14:paraId="480898FF">
      <w:pPr>
        <w:spacing w:before="156" w:beforeLines="50" w:after="156" w:afterLines="50" w:line="480" w:lineRule="exact"/>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第十三</w:t>
      </w:r>
      <w:r>
        <w:rPr>
          <w:rFonts w:eastAsia="宋体"/>
          <w:color w:val="000000" w:themeColor="text1"/>
          <w14:textFill>
            <w14:solidFill>
              <w14:schemeClr w14:val="tx1"/>
            </w14:solidFill>
          </w14:textFill>
        </w:rPr>
        <w:t xml:space="preserve">条  </w:t>
      </w:r>
      <w:r>
        <w:rPr>
          <w:rFonts w:hint="eastAsia" w:eastAsia="宋体"/>
          <w:color w:val="000000" w:themeColor="text1"/>
          <w14:textFill>
            <w14:solidFill>
              <w14:schemeClr w14:val="tx1"/>
            </w14:solidFill>
          </w14:textFill>
        </w:rPr>
        <w:t>基金会</w:t>
      </w:r>
      <w:r>
        <w:rPr>
          <w:rFonts w:eastAsia="宋体"/>
          <w:color w:val="000000" w:themeColor="text1"/>
          <w14:textFill>
            <w14:solidFill>
              <w14:schemeClr w14:val="tx1"/>
            </w14:solidFill>
          </w14:textFill>
        </w:rPr>
        <w:t>与其他个人或组织发生重大交易或资金往来的，应当在交易发生后</w:t>
      </w:r>
      <w:r>
        <w:rPr>
          <w:rFonts w:hint="eastAsia" w:eastAsia="宋体"/>
          <w:color w:val="000000" w:themeColor="text1"/>
          <w14:textFill>
            <w14:solidFill>
              <w14:schemeClr w14:val="tx1"/>
            </w14:solidFill>
          </w14:textFill>
        </w:rPr>
        <w:t>及时</w:t>
      </w:r>
      <w:r>
        <w:rPr>
          <w:rFonts w:eastAsia="宋体"/>
          <w:color w:val="000000" w:themeColor="text1"/>
          <w14:textFill>
            <w14:solidFill>
              <w14:schemeClr w14:val="tx1"/>
            </w14:solidFill>
          </w14:textFill>
        </w:rPr>
        <w:t>向社会公开</w:t>
      </w:r>
      <w:r>
        <w:rPr>
          <w:rFonts w:hint="eastAsia" w:eastAsia="宋体"/>
          <w:color w:val="000000" w:themeColor="text1"/>
          <w14:textFill>
            <w14:solidFill>
              <w14:schemeClr w14:val="tx1"/>
            </w14:solidFill>
          </w14:textFill>
        </w:rPr>
        <w:t>事由</w:t>
      </w:r>
      <w:r>
        <w:rPr>
          <w:rFonts w:eastAsia="宋体"/>
          <w:color w:val="000000" w:themeColor="text1"/>
          <w14:textFill>
            <w14:solidFill>
              <w14:schemeClr w14:val="tx1"/>
            </w14:solidFill>
          </w14:textFill>
        </w:rPr>
        <w:t>和金额。</w:t>
      </w:r>
    </w:p>
    <w:p w14:paraId="0CE24D59">
      <w:pPr>
        <w:spacing w:before="156" w:beforeLines="50" w:after="156" w:afterLines="50" w:line="480" w:lineRule="exact"/>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重大交易</w:t>
      </w:r>
      <w:r>
        <w:rPr>
          <w:rFonts w:eastAsia="宋体"/>
          <w:color w:val="000000" w:themeColor="text1"/>
          <w14:textFill>
            <w14:solidFill>
              <w14:schemeClr w14:val="tx1"/>
            </w14:solidFill>
          </w14:textFill>
        </w:rPr>
        <w:t>及资金往来的标准，</w:t>
      </w:r>
      <w:r>
        <w:rPr>
          <w:rFonts w:hint="eastAsia" w:eastAsia="宋体"/>
          <w:color w:val="000000" w:themeColor="text1"/>
          <w14:textFill>
            <w14:solidFill>
              <w14:schemeClr w14:val="tx1"/>
            </w14:solidFill>
          </w14:textFill>
        </w:rPr>
        <w:t>由基金会</w:t>
      </w:r>
      <w:r>
        <w:rPr>
          <w:rFonts w:eastAsia="宋体"/>
          <w:color w:val="000000" w:themeColor="text1"/>
          <w14:textFill>
            <w14:solidFill>
              <w14:schemeClr w14:val="tx1"/>
            </w14:solidFill>
          </w14:textFill>
        </w:rPr>
        <w:t>依据有关法律法规规章在章程规定或者在财务和</w:t>
      </w:r>
      <w:r>
        <w:rPr>
          <w:rFonts w:hint="eastAsia" w:eastAsia="宋体"/>
          <w:color w:val="000000" w:themeColor="text1"/>
          <w14:textFill>
            <w14:solidFill>
              <w14:schemeClr w14:val="tx1"/>
            </w14:solidFill>
          </w14:textFill>
        </w:rPr>
        <w:t>资产</w:t>
      </w:r>
      <w:r>
        <w:rPr>
          <w:rFonts w:eastAsia="宋体"/>
          <w:color w:val="000000" w:themeColor="text1"/>
          <w14:textFill>
            <w14:solidFill>
              <w14:schemeClr w14:val="tx1"/>
            </w14:solidFill>
          </w14:textFill>
        </w:rPr>
        <w:t>管理制度中规定。</w:t>
      </w:r>
    </w:p>
    <w:p w14:paraId="60BE1996">
      <w:pPr>
        <w:spacing w:before="156" w:beforeLines="50" w:after="156" w:afterLines="50" w:line="480" w:lineRule="exact"/>
        <w:ind w:firstLine="48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w:t>
      </w:r>
      <w:r>
        <w:rPr>
          <w:rFonts w:eastAsia="宋体"/>
          <w:color w:val="000000" w:themeColor="text1"/>
          <w14:textFill>
            <w14:solidFill>
              <w14:schemeClr w14:val="tx1"/>
            </w14:solidFill>
          </w14:textFill>
        </w:rPr>
        <w:t xml:space="preserve">十四条  </w:t>
      </w:r>
      <w:r>
        <w:rPr>
          <w:rFonts w:hint="eastAsia" w:eastAsia="宋体"/>
          <w:color w:val="000000" w:themeColor="text1"/>
          <w14:textFill>
            <w14:solidFill>
              <w14:schemeClr w14:val="tx1"/>
            </w14:solidFill>
          </w14:textFill>
        </w:rPr>
        <w:t>基金会</w:t>
      </w:r>
      <w:r>
        <w:rPr>
          <w:rFonts w:eastAsia="宋体"/>
          <w:color w:val="000000" w:themeColor="text1"/>
          <w14:textFill>
            <w14:solidFill>
              <w14:schemeClr w14:val="tx1"/>
            </w14:solidFill>
          </w14:textFill>
        </w:rPr>
        <w:t>发生</w:t>
      </w:r>
      <w:r>
        <w:rPr>
          <w:rFonts w:hint="eastAsia" w:eastAsia="宋体"/>
          <w:color w:val="000000" w:themeColor="text1"/>
          <w14:textFill>
            <w14:solidFill>
              <w14:schemeClr w14:val="tx1"/>
            </w14:solidFill>
          </w14:textFill>
        </w:rPr>
        <w:t>下列</w:t>
      </w:r>
      <w:r>
        <w:rPr>
          <w:rFonts w:eastAsia="宋体"/>
          <w:color w:val="000000" w:themeColor="text1"/>
          <w14:textFill>
            <w14:solidFill>
              <w14:schemeClr w14:val="tx1"/>
            </w14:solidFill>
          </w14:textFill>
        </w:rPr>
        <w:t>关联交易，应当在交易发生后</w:t>
      </w:r>
      <w:r>
        <w:rPr>
          <w:rFonts w:hint="eastAsia" w:eastAsia="宋体"/>
          <w:color w:val="000000" w:themeColor="text1"/>
          <w14:textFill>
            <w14:solidFill>
              <w14:schemeClr w14:val="tx1"/>
            </w14:solidFill>
          </w14:textFill>
        </w:rPr>
        <w:t>及时向</w:t>
      </w:r>
      <w:r>
        <w:rPr>
          <w:rFonts w:eastAsia="宋体"/>
          <w:color w:val="000000" w:themeColor="text1"/>
          <w14:textFill>
            <w14:solidFill>
              <w14:schemeClr w14:val="tx1"/>
            </w14:solidFill>
          </w14:textFill>
        </w:rPr>
        <w:t>社会公开交易内容和金额</w:t>
      </w:r>
      <w:r>
        <w:rPr>
          <w:rFonts w:hint="eastAsia" w:eastAsia="宋体"/>
          <w:color w:val="000000" w:themeColor="text1"/>
          <w14:textFill>
            <w14:solidFill>
              <w14:schemeClr w14:val="tx1"/>
            </w14:solidFill>
          </w14:textFill>
        </w:rPr>
        <w:t>：</w:t>
      </w:r>
    </w:p>
    <w:p w14:paraId="77E8698E">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（一）与</w:t>
      </w:r>
      <w:r>
        <w:rPr>
          <w:rFonts w:eastAsia="宋体"/>
          <w:color w:val="000000" w:themeColor="text1"/>
          <w14:textFill>
            <w14:solidFill>
              <w14:schemeClr w14:val="tx1"/>
            </w14:solidFill>
          </w14:textFill>
        </w:rPr>
        <w:t>重要关联方发生交易；</w:t>
      </w:r>
    </w:p>
    <w:p w14:paraId="2A26532A">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（二）接受</w:t>
      </w:r>
      <w:r>
        <w:rPr>
          <w:rFonts w:eastAsia="宋体"/>
          <w:color w:val="000000" w:themeColor="text1"/>
          <w14:textFill>
            <w14:solidFill>
              <w14:schemeClr w14:val="tx1"/>
            </w14:solidFill>
          </w14:textFill>
        </w:rPr>
        <w:t>重要关联方捐赠；</w:t>
      </w:r>
    </w:p>
    <w:p w14:paraId="1B513F5D">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（三）对</w:t>
      </w:r>
      <w:r>
        <w:rPr>
          <w:rFonts w:eastAsia="宋体"/>
          <w:color w:val="000000" w:themeColor="text1"/>
          <w14:textFill>
            <w14:solidFill>
              <w14:schemeClr w14:val="tx1"/>
            </w14:solidFill>
          </w14:textFill>
        </w:rPr>
        <w:t>重要关联</w:t>
      </w:r>
      <w:r>
        <w:rPr>
          <w:rFonts w:hint="eastAsia" w:eastAsia="宋体"/>
          <w:color w:val="000000" w:themeColor="text1"/>
          <w14:textFill>
            <w14:solidFill>
              <w14:schemeClr w14:val="tx1"/>
            </w14:solidFill>
          </w14:textFill>
        </w:rPr>
        <w:t>方</w:t>
      </w:r>
      <w:r>
        <w:rPr>
          <w:rFonts w:eastAsia="宋体"/>
          <w:color w:val="000000" w:themeColor="text1"/>
          <w14:textFill>
            <w14:solidFill>
              <w14:schemeClr w14:val="tx1"/>
            </w14:solidFill>
          </w14:textFill>
        </w:rPr>
        <w:t>进行</w:t>
      </w:r>
      <w:r>
        <w:rPr>
          <w:rFonts w:hint="eastAsia" w:eastAsia="宋体"/>
          <w:color w:val="000000" w:themeColor="text1"/>
          <w14:textFill>
            <w14:solidFill>
              <w14:schemeClr w14:val="tx1"/>
            </w14:solidFill>
          </w14:textFill>
        </w:rPr>
        <w:t>资助</w:t>
      </w:r>
      <w:r>
        <w:rPr>
          <w:rFonts w:eastAsia="宋体"/>
          <w:color w:val="000000" w:themeColor="text1"/>
          <w14:textFill>
            <w14:solidFill>
              <w14:schemeClr w14:val="tx1"/>
            </w14:solidFill>
          </w14:textFill>
        </w:rPr>
        <w:t>；</w:t>
      </w:r>
    </w:p>
    <w:p w14:paraId="16F882BE">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（四）与</w:t>
      </w:r>
      <w:r>
        <w:rPr>
          <w:rFonts w:eastAsia="宋体"/>
          <w:color w:val="000000" w:themeColor="text1"/>
          <w14:textFill>
            <w14:solidFill>
              <w14:schemeClr w14:val="tx1"/>
            </w14:solidFill>
          </w14:textFill>
        </w:rPr>
        <w:t>重要关联方</w:t>
      </w:r>
      <w:r>
        <w:rPr>
          <w:rFonts w:hint="eastAsia" w:eastAsia="宋体"/>
          <w:color w:val="000000" w:themeColor="text1"/>
          <w14:textFill>
            <w14:solidFill>
              <w14:schemeClr w14:val="tx1"/>
            </w14:solidFill>
          </w14:textFill>
        </w:rPr>
        <w:t>共同投资</w:t>
      </w:r>
      <w:r>
        <w:rPr>
          <w:rFonts w:eastAsia="宋体"/>
          <w:color w:val="000000" w:themeColor="text1"/>
          <w14:textFill>
            <w14:solidFill>
              <w14:schemeClr w14:val="tx1"/>
            </w14:solidFill>
          </w14:textFill>
        </w:rPr>
        <w:t>；</w:t>
      </w:r>
    </w:p>
    <w:p w14:paraId="56BC7017">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（五）委托</w:t>
      </w:r>
      <w:r>
        <w:rPr>
          <w:rFonts w:eastAsia="宋体"/>
          <w:color w:val="000000" w:themeColor="text1"/>
          <w14:textFill>
            <w14:solidFill>
              <w14:schemeClr w14:val="tx1"/>
            </w14:solidFill>
          </w14:textFill>
        </w:rPr>
        <w:t>重要关联方开展投资活动；</w:t>
      </w:r>
    </w:p>
    <w:p w14:paraId="1624FD9F">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（六）与</w:t>
      </w:r>
      <w:r>
        <w:rPr>
          <w:rFonts w:eastAsia="宋体"/>
          <w:color w:val="000000" w:themeColor="text1"/>
          <w14:textFill>
            <w14:solidFill>
              <w14:schemeClr w14:val="tx1"/>
            </w14:solidFill>
          </w14:textFill>
        </w:rPr>
        <w:t>重要关联方发生资金往来。</w:t>
      </w:r>
    </w:p>
    <w:p w14:paraId="24227961">
      <w:pPr>
        <w:spacing w:before="156" w:beforeLines="50" w:after="156" w:afterLines="50" w:line="480" w:lineRule="exact"/>
        <w:ind w:firstLine="480" w:firstLineChars="200"/>
        <w:jc w:val="center"/>
        <w:rPr>
          <w:rFonts w:eastAsia="宋体"/>
          <w:b/>
          <w:bCs/>
          <w:color w:val="000000" w:themeColor="text1"/>
          <w14:textFill>
            <w14:solidFill>
              <w14:schemeClr w14:val="tx1"/>
            </w14:solidFill>
          </w14:textFill>
        </w:rPr>
      </w:pPr>
      <w:bookmarkStart w:id="157" w:name="_Toc751957749_WPSOffice_Level1"/>
      <w:bookmarkStart w:id="158" w:name="_Toc708726460_WPSOffice_Level1"/>
      <w:r>
        <w:rPr>
          <w:rFonts w:hint="eastAsia" w:eastAsia="宋体"/>
          <w:b/>
          <w:bCs/>
          <w:color w:val="000000" w:themeColor="text1"/>
          <w14:textFill>
            <w14:solidFill>
              <w14:schemeClr w14:val="tx1"/>
            </w14:solidFill>
          </w14:textFill>
        </w:rPr>
        <w:t>第五章 法律责任</w:t>
      </w:r>
      <w:bookmarkEnd w:id="157"/>
      <w:bookmarkEnd w:id="158"/>
    </w:p>
    <w:p w14:paraId="5997560E">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第十六条</w:t>
      </w:r>
      <w:r>
        <w:rPr>
          <w:rFonts w:eastAsia="宋体"/>
          <w:color w:val="000000" w:themeColor="text1"/>
          <w14:textFill>
            <w14:solidFill>
              <w14:schemeClr w14:val="tx1"/>
            </w14:solidFill>
          </w14:textFill>
        </w:rPr>
        <w:t xml:space="preserve">  基金会</w:t>
      </w:r>
      <w:r>
        <w:rPr>
          <w:rFonts w:hint="eastAsia" w:eastAsia="宋体"/>
          <w:color w:val="000000" w:themeColor="text1"/>
          <w14:textFill>
            <w14:solidFill>
              <w14:schemeClr w14:val="tx1"/>
            </w14:solidFill>
          </w14:textFill>
        </w:rPr>
        <w:t>违反《基金会</w:t>
      </w:r>
      <w:r>
        <w:rPr>
          <w:rFonts w:eastAsia="宋体"/>
          <w:color w:val="000000" w:themeColor="text1"/>
          <w14:textFill>
            <w14:solidFill>
              <w14:schemeClr w14:val="tx1"/>
            </w14:solidFill>
          </w14:textFill>
        </w:rPr>
        <w:t>管理条例》</w:t>
      </w:r>
      <w:r>
        <w:rPr>
          <w:rFonts w:hint="eastAsia" w:eastAsia="宋体"/>
          <w:color w:val="000000" w:themeColor="text1"/>
          <w14:textFill>
            <w14:solidFill>
              <w14:schemeClr w14:val="tx1"/>
            </w14:solidFill>
          </w14:textFill>
        </w:rPr>
        <w:t>以及</w:t>
      </w:r>
      <w:r>
        <w:rPr>
          <w:rFonts w:eastAsia="宋体"/>
          <w:color w:val="000000" w:themeColor="text1"/>
          <w14:textFill>
            <w14:solidFill>
              <w14:schemeClr w14:val="tx1"/>
            </w14:solidFill>
          </w14:textFill>
        </w:rPr>
        <w:t>本</w:t>
      </w:r>
      <w:r>
        <w:rPr>
          <w:rFonts w:hint="eastAsia" w:eastAsia="宋体"/>
          <w:color w:val="000000" w:themeColor="text1"/>
          <w14:textFill>
            <w14:solidFill>
              <w14:schemeClr w14:val="tx1"/>
            </w14:solidFill>
          </w14:textFill>
        </w:rPr>
        <w:t>制度</w:t>
      </w:r>
      <w:r>
        <w:rPr>
          <w:rFonts w:eastAsia="宋体"/>
          <w:color w:val="000000" w:themeColor="text1"/>
          <w14:textFill>
            <w14:solidFill>
              <w14:schemeClr w14:val="tx1"/>
            </w14:solidFill>
          </w14:textFill>
        </w:rPr>
        <w:t>进行关联交易，变相转移、</w:t>
      </w:r>
      <w:r>
        <w:rPr>
          <w:rFonts w:hint="eastAsia" w:eastAsia="宋体"/>
          <w:color w:val="000000" w:themeColor="text1"/>
          <w14:textFill>
            <w14:solidFill>
              <w14:schemeClr w14:val="tx1"/>
            </w14:solidFill>
          </w14:textFill>
        </w:rPr>
        <w:t>隐匿</w:t>
      </w:r>
      <w:r>
        <w:rPr>
          <w:rFonts w:eastAsia="宋体"/>
          <w:color w:val="000000" w:themeColor="text1"/>
          <w14:textFill>
            <w14:solidFill>
              <w14:schemeClr w14:val="tx1"/>
            </w14:solidFill>
          </w14:textFill>
        </w:rPr>
        <w:t>、分配</w:t>
      </w:r>
      <w:r>
        <w:rPr>
          <w:rFonts w:hint="eastAsia" w:eastAsia="宋体"/>
          <w:color w:val="000000" w:themeColor="text1"/>
          <w14:textFill>
            <w14:solidFill>
              <w14:schemeClr w14:val="tx1"/>
            </w14:solidFill>
          </w14:textFill>
        </w:rPr>
        <w:t>基金会</w:t>
      </w:r>
      <w:r>
        <w:rPr>
          <w:rFonts w:eastAsia="宋体"/>
          <w:color w:val="000000" w:themeColor="text1"/>
          <w14:textFill>
            <w14:solidFill>
              <w14:schemeClr w14:val="tx1"/>
            </w14:solidFill>
          </w14:textFill>
        </w:rPr>
        <w:t>财产的，</w:t>
      </w:r>
      <w:r>
        <w:rPr>
          <w:rFonts w:hint="eastAsia" w:eastAsia="宋体"/>
          <w:color w:val="000000" w:themeColor="text1"/>
          <w14:textFill>
            <w14:solidFill>
              <w14:schemeClr w14:val="tx1"/>
            </w14:solidFill>
          </w14:textFill>
        </w:rPr>
        <w:t>财政部门和税务部门将取消基金会的免税资格。</w:t>
      </w:r>
    </w:p>
    <w:p w14:paraId="1DCD2C6F">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w:t>
      </w:r>
      <w:r>
        <w:rPr>
          <w:rFonts w:eastAsia="宋体"/>
          <w:color w:val="000000" w:themeColor="text1"/>
          <w14:textFill>
            <w14:solidFill>
              <w14:schemeClr w14:val="tx1"/>
            </w14:solidFill>
          </w14:textFill>
        </w:rPr>
        <w:t>十</w:t>
      </w:r>
      <w:r>
        <w:rPr>
          <w:rFonts w:hint="eastAsia" w:eastAsia="宋体"/>
          <w:color w:val="000000" w:themeColor="text1"/>
          <w14:textFill>
            <w14:solidFill>
              <w14:schemeClr w14:val="tx1"/>
            </w14:solidFill>
          </w14:textFill>
        </w:rPr>
        <w:t>七</w:t>
      </w:r>
      <w:r>
        <w:rPr>
          <w:rFonts w:eastAsia="宋体"/>
          <w:color w:val="000000" w:themeColor="text1"/>
          <w14:textFill>
            <w14:solidFill>
              <w14:schemeClr w14:val="tx1"/>
            </w14:solidFill>
          </w14:textFill>
        </w:rPr>
        <w:t xml:space="preserve">条  </w:t>
      </w:r>
      <w:r>
        <w:rPr>
          <w:rFonts w:hint="eastAsia" w:eastAsia="宋体"/>
          <w:color w:val="000000" w:themeColor="text1"/>
          <w14:textFill>
            <w14:solidFill>
              <w14:schemeClr w14:val="tx1"/>
            </w14:solidFill>
          </w14:textFill>
        </w:rPr>
        <w:t>基金会理事会</w:t>
      </w:r>
      <w:r>
        <w:rPr>
          <w:rFonts w:eastAsia="宋体"/>
          <w:color w:val="000000" w:themeColor="text1"/>
          <w14:textFill>
            <w14:solidFill>
              <w14:schemeClr w14:val="tx1"/>
            </w14:solidFill>
          </w14:textFill>
        </w:rPr>
        <w:t>违反</w:t>
      </w:r>
      <w:r>
        <w:rPr>
          <w:rFonts w:hint="eastAsia" w:eastAsia="宋体"/>
          <w:color w:val="000000" w:themeColor="text1"/>
          <w14:textFill>
            <w14:solidFill>
              <w14:schemeClr w14:val="tx1"/>
            </w14:solidFill>
          </w14:textFill>
        </w:rPr>
        <w:t>本制度第三条</w:t>
      </w:r>
      <w:r>
        <w:rPr>
          <w:rFonts w:eastAsia="宋体"/>
          <w:color w:val="000000" w:themeColor="text1"/>
          <w14:textFill>
            <w14:solidFill>
              <w14:schemeClr w14:val="tx1"/>
            </w14:solidFill>
          </w14:textFill>
        </w:rPr>
        <w:t>、第九条、第十条以及章程规定决策不当</w:t>
      </w:r>
      <w:r>
        <w:rPr>
          <w:rFonts w:hint="eastAsia" w:eastAsia="宋体"/>
          <w:color w:val="000000" w:themeColor="text1"/>
          <w14:textFill>
            <w14:solidFill>
              <w14:schemeClr w14:val="tx1"/>
            </w14:solidFill>
          </w14:textFill>
        </w:rPr>
        <w:t>，致使</w:t>
      </w:r>
      <w:r>
        <w:rPr>
          <w:rFonts w:eastAsia="宋体"/>
          <w:color w:val="000000" w:themeColor="text1"/>
          <w14:textFill>
            <w14:solidFill>
              <w14:schemeClr w14:val="tx1"/>
            </w14:solidFill>
          </w14:textFill>
        </w:rPr>
        <w:t>基金会遭受财产</w:t>
      </w:r>
      <w:r>
        <w:rPr>
          <w:rFonts w:hint="eastAsia" w:eastAsia="宋体"/>
          <w:color w:val="000000" w:themeColor="text1"/>
          <w14:textFill>
            <w14:solidFill>
              <w14:schemeClr w14:val="tx1"/>
            </w14:solidFill>
          </w14:textFill>
        </w:rPr>
        <w:t>损失</w:t>
      </w:r>
      <w:r>
        <w:rPr>
          <w:rFonts w:eastAsia="宋体"/>
          <w:color w:val="000000" w:themeColor="text1"/>
          <w14:textFill>
            <w14:solidFill>
              <w14:schemeClr w14:val="tx1"/>
            </w14:solidFill>
          </w14:textFill>
        </w:rPr>
        <w:t>的，参与决策</w:t>
      </w:r>
      <w:r>
        <w:rPr>
          <w:rFonts w:hint="eastAsia" w:eastAsia="宋体"/>
          <w:color w:val="000000" w:themeColor="text1"/>
          <w14:textFill>
            <w14:solidFill>
              <w14:schemeClr w14:val="tx1"/>
            </w14:solidFill>
          </w14:textFill>
        </w:rPr>
        <w:t>的理事需要承担</w:t>
      </w:r>
      <w:r>
        <w:rPr>
          <w:rFonts w:eastAsia="宋体"/>
          <w:color w:val="000000" w:themeColor="text1"/>
          <w14:textFill>
            <w14:solidFill>
              <w14:schemeClr w14:val="tx1"/>
            </w14:solidFill>
          </w14:textFill>
        </w:rPr>
        <w:t>相应</w:t>
      </w:r>
      <w:r>
        <w:rPr>
          <w:rFonts w:hint="eastAsia" w:eastAsia="宋体"/>
          <w:color w:val="000000" w:themeColor="text1"/>
          <w14:textFill>
            <w14:solidFill>
              <w14:schemeClr w14:val="tx1"/>
            </w14:solidFill>
          </w14:textFill>
        </w:rPr>
        <w:t>的</w:t>
      </w:r>
      <w:r>
        <w:rPr>
          <w:rFonts w:eastAsia="宋体"/>
          <w:color w:val="000000" w:themeColor="text1"/>
          <w14:textFill>
            <w14:solidFill>
              <w14:schemeClr w14:val="tx1"/>
            </w14:solidFill>
          </w14:textFill>
        </w:rPr>
        <w:t>赔偿责任</w:t>
      </w:r>
      <w:r>
        <w:rPr>
          <w:rFonts w:hint="eastAsia" w:eastAsia="宋体"/>
          <w:color w:val="000000" w:themeColor="text1"/>
          <w14:textFill>
            <w14:solidFill>
              <w14:schemeClr w14:val="tx1"/>
            </w14:solidFill>
          </w14:textFill>
        </w:rPr>
        <w:t>，在理事会决议当中明确提否定意见的理事可以免责。</w:t>
      </w:r>
    </w:p>
    <w:p w14:paraId="632E4D87">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第十八条</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关联人违反</w:t>
      </w:r>
      <w:r>
        <w:rPr>
          <w:rFonts w:eastAsia="宋体"/>
          <w:color w:val="000000" w:themeColor="text1"/>
          <w14:textFill>
            <w14:solidFill>
              <w14:schemeClr w14:val="tx1"/>
            </w14:solidFill>
          </w14:textFill>
        </w:rPr>
        <w:t>本规定进行关联交易</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侵占、挪用基金会财产的，应当退还非法占用的财产</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构成犯罪的，</w:t>
      </w:r>
      <w:r>
        <w:rPr>
          <w:rFonts w:hint="eastAsia" w:eastAsia="宋体"/>
          <w:color w:val="000000" w:themeColor="text1"/>
          <w14:textFill>
            <w14:solidFill>
              <w14:schemeClr w14:val="tx1"/>
            </w14:solidFill>
          </w14:textFill>
        </w:rPr>
        <w:t>由司法机关</w:t>
      </w:r>
      <w:r>
        <w:rPr>
          <w:rFonts w:eastAsia="宋体"/>
          <w:color w:val="000000" w:themeColor="text1"/>
          <w14:textFill>
            <w14:solidFill>
              <w14:schemeClr w14:val="tx1"/>
            </w14:solidFill>
          </w14:textFill>
        </w:rPr>
        <w:t>依法</w:t>
      </w:r>
      <w:r>
        <w:rPr>
          <w:rFonts w:hint="eastAsia" w:eastAsia="宋体"/>
          <w:color w:val="000000" w:themeColor="text1"/>
          <w14:textFill>
            <w14:solidFill>
              <w14:schemeClr w14:val="tx1"/>
            </w14:solidFill>
          </w14:textFill>
        </w:rPr>
        <w:t>追究</w:t>
      </w:r>
      <w:r>
        <w:rPr>
          <w:rFonts w:eastAsia="宋体"/>
          <w:color w:val="000000" w:themeColor="text1"/>
          <w14:textFill>
            <w14:solidFill>
              <w14:schemeClr w14:val="tx1"/>
            </w14:solidFill>
          </w14:textFill>
        </w:rPr>
        <w:t>刑事责任。</w:t>
      </w:r>
    </w:p>
    <w:p w14:paraId="02611E85">
      <w:pPr>
        <w:spacing w:before="156" w:beforeLines="50" w:after="156" w:afterLines="50" w:line="480" w:lineRule="exact"/>
        <w:ind w:firstLine="480" w:firstLineChars="200"/>
        <w:jc w:val="center"/>
        <w:rPr>
          <w:rFonts w:eastAsia="宋体"/>
          <w:b/>
          <w:bCs/>
          <w:color w:val="000000" w:themeColor="text1"/>
          <w14:textFill>
            <w14:solidFill>
              <w14:schemeClr w14:val="tx1"/>
            </w14:solidFill>
          </w14:textFill>
        </w:rPr>
      </w:pPr>
      <w:bookmarkStart w:id="159" w:name="_Toc212624848_WPSOffice_Level1"/>
      <w:bookmarkStart w:id="160" w:name="_Toc1621306958_WPSOffice_Level1"/>
      <w:r>
        <w:rPr>
          <w:rFonts w:hint="eastAsia" w:eastAsia="宋体"/>
          <w:b/>
          <w:bCs/>
          <w:color w:val="000000" w:themeColor="text1"/>
          <w14:textFill>
            <w14:solidFill>
              <w14:schemeClr w14:val="tx1"/>
            </w14:solidFill>
          </w14:textFill>
        </w:rPr>
        <w:t>第六章 附则</w:t>
      </w:r>
      <w:bookmarkEnd w:id="159"/>
      <w:bookmarkEnd w:id="160"/>
    </w:p>
    <w:p w14:paraId="62DC8C10">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第十九</w:t>
      </w:r>
      <w:r>
        <w:rPr>
          <w:rFonts w:eastAsia="宋体"/>
          <w:color w:val="000000" w:themeColor="text1"/>
          <w14:textFill>
            <w14:solidFill>
              <w14:schemeClr w14:val="tx1"/>
            </w14:solidFill>
          </w14:textFill>
        </w:rPr>
        <w:t xml:space="preserve">条  </w:t>
      </w:r>
      <w:r>
        <w:rPr>
          <w:rFonts w:hint="eastAsia" w:eastAsia="宋体"/>
          <w:color w:val="000000" w:themeColor="text1"/>
          <w14:textFill>
            <w14:solidFill>
              <w14:schemeClr w14:val="tx1"/>
            </w14:solidFill>
          </w14:textFill>
        </w:rPr>
        <w:t>本制度</w:t>
      </w:r>
      <w:r>
        <w:rPr>
          <w:rFonts w:eastAsia="宋体"/>
          <w:color w:val="000000" w:themeColor="text1"/>
          <w14:textFill>
            <w14:solidFill>
              <w14:schemeClr w14:val="tx1"/>
            </w14:solidFill>
          </w14:textFill>
        </w:rPr>
        <w:t>对基金会、理事会、理事、监事、专业委员会以及</w:t>
      </w:r>
      <w:r>
        <w:rPr>
          <w:rFonts w:hint="eastAsia" w:eastAsia="宋体"/>
          <w:color w:val="000000" w:themeColor="text1"/>
          <w14:textFill>
            <w14:solidFill>
              <w14:schemeClr w14:val="tx1"/>
            </w14:solidFill>
          </w14:textFill>
        </w:rPr>
        <w:t>其他高级</w:t>
      </w:r>
      <w:r>
        <w:rPr>
          <w:rFonts w:eastAsia="宋体"/>
          <w:color w:val="000000" w:themeColor="text1"/>
          <w14:textFill>
            <w14:solidFill>
              <w14:schemeClr w14:val="tx1"/>
            </w14:solidFill>
          </w14:textFill>
        </w:rPr>
        <w:t>管理人员具有约束力。</w:t>
      </w:r>
    </w:p>
    <w:p w14:paraId="41F6210D">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第二十</w:t>
      </w:r>
      <w:r>
        <w:rPr>
          <w:rFonts w:eastAsia="宋体"/>
          <w:color w:val="000000" w:themeColor="text1"/>
          <w14:textFill>
            <w14:solidFill>
              <w14:schemeClr w14:val="tx1"/>
            </w14:solidFill>
          </w14:textFill>
        </w:rPr>
        <w:t xml:space="preserve">条  </w:t>
      </w:r>
      <w:r>
        <w:rPr>
          <w:rFonts w:hint="eastAsia" w:eastAsia="宋体"/>
        </w:rPr>
        <w:t>本制度未尽事宜或与有关规定不一致的，按有关规定执行。</w:t>
      </w:r>
    </w:p>
    <w:p w14:paraId="1A5EB509">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第二十一</w:t>
      </w:r>
      <w:r>
        <w:rPr>
          <w:rFonts w:eastAsia="宋体"/>
          <w:color w:val="000000" w:themeColor="text1"/>
          <w14:textFill>
            <w14:solidFill>
              <w14:schemeClr w14:val="tx1"/>
            </w14:solidFill>
          </w14:textFill>
        </w:rPr>
        <w:t xml:space="preserve">条  </w:t>
      </w:r>
      <w:r>
        <w:rPr>
          <w:rFonts w:hint="eastAsia" w:eastAsia="宋体"/>
          <w:color w:val="000000" w:themeColor="text1"/>
          <w14:textFill>
            <w14:solidFill>
              <w14:schemeClr w14:val="tx1"/>
            </w14:solidFill>
          </w14:textFill>
        </w:rPr>
        <w:t>本制度</w:t>
      </w:r>
      <w:r>
        <w:rPr>
          <w:rFonts w:eastAsia="宋体"/>
          <w:color w:val="000000" w:themeColor="text1"/>
          <w14:textFill>
            <w14:solidFill>
              <w14:schemeClr w14:val="tx1"/>
            </w14:solidFill>
          </w14:textFill>
        </w:rPr>
        <w:t>解释权属于基金会理事会。</w:t>
      </w:r>
    </w:p>
    <w:p w14:paraId="3E53CE6C">
      <w:pPr>
        <w:spacing w:before="156" w:beforeLines="50" w:after="156" w:afterLines="50" w:line="48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第二十二条 </w:t>
      </w:r>
      <w:r>
        <w:rPr>
          <w:rFonts w:eastAsia="宋体"/>
          <w:color w:val="000000" w:themeColor="text1"/>
          <w14:textFill>
            <w14:solidFill>
              <w14:schemeClr w14:val="tx1"/>
            </w14:solidFill>
          </w14:textFill>
        </w:rPr>
        <w:t xml:space="preserve"> </w:t>
      </w:r>
      <w:r>
        <w:rPr>
          <w:rFonts w:hint="eastAsia" w:eastAsia="宋体"/>
          <w:color w:val="000000" w:themeColor="text1"/>
          <w14:textFill>
            <w14:solidFill>
              <w14:schemeClr w14:val="tx1"/>
            </w14:solidFill>
          </w14:textFill>
        </w:rPr>
        <w:t>本制度</w:t>
      </w:r>
      <w:r>
        <w:rPr>
          <w:rFonts w:eastAsia="宋体"/>
          <w:color w:val="000000" w:themeColor="text1"/>
          <w14:textFill>
            <w14:solidFill>
              <w14:schemeClr w14:val="tx1"/>
            </w14:solidFill>
          </w14:textFill>
        </w:rPr>
        <w:t>自理事会审议</w:t>
      </w:r>
      <w:r>
        <w:rPr>
          <w:rFonts w:hint="eastAsia" w:eastAsia="宋体"/>
          <w:color w:val="000000" w:themeColor="text1"/>
          <w14:textFill>
            <w14:solidFill>
              <w14:schemeClr w14:val="tx1"/>
            </w14:solidFill>
          </w14:textFill>
        </w:rPr>
        <w:t>通过后</w:t>
      </w:r>
      <w:r>
        <w:rPr>
          <w:rFonts w:eastAsia="宋体"/>
          <w:color w:val="000000" w:themeColor="text1"/>
          <w14:textFill>
            <w14:solidFill>
              <w14:schemeClr w14:val="tx1"/>
            </w14:solidFill>
          </w14:textFill>
        </w:rPr>
        <w:t>实施。</w:t>
      </w:r>
    </w:p>
    <w:p w14:paraId="3022C8E5">
      <w:pPr>
        <w:spacing w:before="156" w:beforeLines="50" w:after="156" w:afterLines="50" w:line="480" w:lineRule="exact"/>
        <w:ind w:firstLine="480" w:firstLineChars="200"/>
        <w:rPr>
          <w:rFonts w:eastAsia="宋体"/>
          <w:color w:val="000000" w:themeColor="text1"/>
          <w14:textFill>
            <w14:solidFill>
              <w14:schemeClr w14:val="tx1"/>
            </w14:solidFill>
          </w14:textFill>
        </w:rPr>
      </w:pPr>
    </w:p>
    <w:p w14:paraId="4181D3DB">
      <w:r>
        <w:br w:type="page"/>
      </w:r>
    </w:p>
    <w:p w14:paraId="2CA94A28">
      <w:pPr>
        <w:pStyle w:val="2"/>
      </w:pPr>
      <w:bookmarkStart w:id="161" w:name="_Toc487741920"/>
      <w:bookmarkStart w:id="162" w:name="_Toc2033529970_WPSOffice_Level1"/>
      <w:bookmarkStart w:id="163" w:name="_Toc2033803695"/>
      <w:r>
        <w:t>北京中致儿童关爱</w:t>
      </w:r>
      <w:r>
        <w:rPr>
          <w:rFonts w:hint="eastAsia"/>
        </w:rPr>
        <w:t>基金会</w:t>
      </w:r>
      <w:bookmarkEnd w:id="161"/>
      <w:bookmarkEnd w:id="162"/>
      <w:bookmarkEnd w:id="163"/>
    </w:p>
    <w:p w14:paraId="758EB2F3">
      <w:pPr>
        <w:pStyle w:val="2"/>
        <w:rPr>
          <w:rFonts w:ascii="宋体" w:hAnsi="宋体" w:eastAsia="宋体" w:cs="Times New Roman (正文 CS 字体)"/>
        </w:rPr>
      </w:pPr>
      <w:bookmarkStart w:id="164" w:name="_Toc533368841"/>
      <w:bookmarkStart w:id="165" w:name="_Toc335963785_WPSOffice_Level1"/>
      <w:bookmarkStart w:id="166" w:name="_Toc641492566"/>
      <w:r>
        <w:rPr>
          <w:rFonts w:hint="eastAsia"/>
        </w:rPr>
        <w:t>捐赠管理制度</w:t>
      </w:r>
      <w:bookmarkEnd w:id="164"/>
      <w:bookmarkEnd w:id="165"/>
      <w:bookmarkEnd w:id="166"/>
    </w:p>
    <w:p w14:paraId="7E740CFC">
      <w:pPr>
        <w:spacing w:before="156" w:beforeLines="50" w:after="156" w:afterLines="50" w:line="480" w:lineRule="exact"/>
        <w:jc w:val="center"/>
        <w:rPr>
          <w:rFonts w:ascii="宋体" w:hAnsi="宋体" w:eastAsia="宋体" w:cs="Times New Roman (正文 CS 字体)"/>
          <w:b/>
        </w:rPr>
      </w:pPr>
      <w:bookmarkStart w:id="167" w:name="_Toc451394458_WPSOffice_Level1"/>
      <w:bookmarkStart w:id="168" w:name="_Toc808826532_WPSOffice_Level1"/>
      <w:r>
        <w:rPr>
          <w:rFonts w:hint="eastAsia" w:ascii="宋体" w:hAnsi="宋体" w:eastAsia="宋体" w:cs="Times New Roman (正文 CS 字体)"/>
          <w:b/>
        </w:rPr>
        <w:t>第一章 总则</w:t>
      </w:r>
      <w:bookmarkEnd w:id="167"/>
      <w:bookmarkEnd w:id="168"/>
    </w:p>
    <w:p w14:paraId="4523115D">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第一条</w:t>
      </w:r>
      <w:r>
        <w:rPr>
          <w:rFonts w:ascii="宋体" w:hAnsi="宋体" w:eastAsia="宋体" w:cs="Times New Roman (正文 CS 字体)"/>
          <w:bCs/>
        </w:rPr>
        <w:t xml:space="preserve">  </w:t>
      </w:r>
      <w:r>
        <w:rPr>
          <w:rFonts w:hint="eastAsia" w:ascii="宋体" w:hAnsi="宋体" w:eastAsia="宋体" w:cs="Times New Roman (正文 CS 字体)"/>
          <w:bCs/>
        </w:rPr>
        <w:t>为规范本基金会捐赠财产的管理，明确捐赠和受赠程序，保证捐赠财产发挥最大效益，根据《基金会管理条例》《中华人民共和国公益事业捐赠法》《中华人民共和国慈善法》《民政部关于印发</w:t>
      </w:r>
      <w:r>
        <w:rPr>
          <w:rFonts w:ascii="宋体" w:hAnsi="宋体" w:eastAsia="宋体" w:cs="Times New Roman (正文 CS 字体)"/>
          <w:bCs/>
        </w:rPr>
        <w:t>&lt;关于规范基金会行为的若干规定（试行）&gt;的通知》</w:t>
      </w:r>
      <w:r>
        <w:rPr>
          <w:rFonts w:hint="eastAsia" w:ascii="宋体" w:hAnsi="宋体" w:eastAsia="宋体" w:cs="Times New Roman (正文 CS 字体)"/>
          <w:bCs/>
        </w:rPr>
        <w:t>等法律法规和本基金会章程的规定，结合本基金会实际情况，制定本管理制度。</w:t>
      </w:r>
    </w:p>
    <w:p w14:paraId="6D5DF353">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第二条</w:t>
      </w:r>
      <w:r>
        <w:rPr>
          <w:rFonts w:ascii="宋体" w:hAnsi="宋体" w:eastAsia="宋体" w:cs="Times New Roman (正文 CS 字体)"/>
          <w:bCs/>
        </w:rPr>
        <w:t xml:space="preserve">  </w:t>
      </w:r>
      <w:r>
        <w:rPr>
          <w:rFonts w:hint="eastAsia" w:ascii="宋体" w:hAnsi="宋体" w:eastAsia="宋体" w:cs="Times New Roman (正文 CS 字体)"/>
          <w:bCs/>
        </w:rPr>
        <w:t>本制度适用于基金会与其他自然人、法人或其他组织之间的捐赠和受赠行为。</w:t>
      </w:r>
    </w:p>
    <w:p w14:paraId="484CAF7D">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第三条</w:t>
      </w:r>
      <w:r>
        <w:rPr>
          <w:rFonts w:ascii="宋体" w:hAnsi="宋体" w:eastAsia="宋体" w:cs="Times New Roman (正文 CS 字体)"/>
          <w:bCs/>
        </w:rPr>
        <w:t xml:space="preserve">  </w:t>
      </w:r>
      <w:r>
        <w:rPr>
          <w:rFonts w:hint="eastAsia" w:ascii="宋体" w:hAnsi="宋体" w:eastAsia="宋体" w:cs="Times New Roman (正文 CS 字体)"/>
          <w:bCs/>
        </w:rPr>
        <w:t>基金会的捐赠和受赠行为是自愿和无偿的，不得</w:t>
      </w:r>
      <w:r>
        <w:rPr>
          <w:rFonts w:ascii="宋体" w:hAnsi="宋体" w:eastAsia="宋体" w:cs="Times New Roman (正文 CS 字体)"/>
          <w:bCs/>
        </w:rPr>
        <w:t>强行摊派或者变相摊派，不得以捐赠为名从事营利活动。</w:t>
      </w:r>
    </w:p>
    <w:p w14:paraId="40F51D76">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第四条</w:t>
      </w:r>
      <w:r>
        <w:rPr>
          <w:rFonts w:ascii="宋体" w:hAnsi="宋体" w:eastAsia="宋体" w:cs="Times New Roman (正文 CS 字体)"/>
          <w:bCs/>
        </w:rPr>
        <w:t xml:space="preserve">  </w:t>
      </w:r>
      <w:r>
        <w:rPr>
          <w:rFonts w:hint="eastAsia" w:ascii="宋体" w:hAnsi="宋体" w:eastAsia="宋体" w:cs="Times New Roman (正文 CS 字体)"/>
          <w:bCs/>
        </w:rPr>
        <w:t>捐赠和受赠行为应当遵守国家相关法律、法规的规定，遵守社会公德，不得损害公共利益和其他公民的合法权益。</w:t>
      </w:r>
    </w:p>
    <w:p w14:paraId="1678038C">
      <w:pPr>
        <w:spacing w:before="156" w:beforeLines="50" w:after="156" w:afterLines="50" w:line="480" w:lineRule="exact"/>
        <w:jc w:val="center"/>
        <w:rPr>
          <w:rFonts w:ascii="宋体" w:hAnsi="宋体" w:eastAsia="宋体" w:cs="Times New Roman (正文 CS 字体)"/>
          <w:b/>
        </w:rPr>
      </w:pPr>
      <w:bookmarkStart w:id="169" w:name="_Toc1674414402_WPSOffice_Level1"/>
      <w:bookmarkStart w:id="170" w:name="_Toc376037814_WPSOffice_Level1"/>
      <w:r>
        <w:rPr>
          <w:rFonts w:hint="eastAsia" w:ascii="宋体" w:hAnsi="宋体" w:eastAsia="宋体" w:cs="Times New Roman (正文 CS 字体)"/>
          <w:b/>
        </w:rPr>
        <w:t xml:space="preserve">第二章 </w:t>
      </w:r>
      <w:r>
        <w:rPr>
          <w:rFonts w:ascii="宋体" w:hAnsi="宋体" w:eastAsia="宋体" w:cs="Times New Roman (正文 CS 字体)"/>
          <w:b/>
        </w:rPr>
        <w:t xml:space="preserve"> </w:t>
      </w:r>
      <w:r>
        <w:rPr>
          <w:rFonts w:hint="eastAsia" w:ascii="宋体" w:hAnsi="宋体" w:eastAsia="宋体" w:cs="Times New Roman (正文 CS 字体)"/>
          <w:b/>
        </w:rPr>
        <w:t>接受捐赠</w:t>
      </w:r>
      <w:bookmarkEnd w:id="169"/>
      <w:bookmarkEnd w:id="170"/>
    </w:p>
    <w:p w14:paraId="152CD6DF">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第五条</w:t>
      </w:r>
      <w:r>
        <w:rPr>
          <w:rFonts w:ascii="宋体" w:hAnsi="宋体" w:eastAsia="宋体" w:cs="Times New Roman (正文 CS 字体)"/>
          <w:bCs/>
        </w:rPr>
        <w:t xml:space="preserve">  </w:t>
      </w:r>
      <w:r>
        <w:rPr>
          <w:rFonts w:hint="eastAsia" w:ascii="宋体" w:hAnsi="宋体" w:eastAsia="宋体" w:cs="Times New Roman (正文 CS 字体)"/>
          <w:bCs/>
        </w:rPr>
        <w:t>基金会接受捐赠，应当为捐赠人开具正式的捐赠票据，并将受赠财产登记造册，妥善保管。</w:t>
      </w:r>
    </w:p>
    <w:p w14:paraId="743BE7A6">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捐赠票据应当载明捐赠人、捐赠财产的种类及数量、基金会名称和经办人姓名、票据日期等。捐赠人匿名或者放弃接受捐赠票据的，基金会也应当开具捐赠票据，由基金会留存备查。</w:t>
      </w:r>
    </w:p>
    <w:p w14:paraId="3932C5D0">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第六条</w:t>
      </w:r>
      <w:r>
        <w:rPr>
          <w:rFonts w:ascii="宋体" w:hAnsi="宋体" w:eastAsia="宋体" w:cs="Times New Roman (正文 CS 字体)"/>
          <w:bCs/>
        </w:rPr>
        <w:t xml:space="preserve">  基金会接受捐赠应当确保公益性。附加对捐赠人构成利益回报条件的赠与和不符合公益性目的的赠与，不应确认为公益捐赠，不得开具捐赠票据</w:t>
      </w:r>
      <w:r>
        <w:rPr>
          <w:rFonts w:hint="eastAsia" w:ascii="宋体" w:hAnsi="宋体" w:eastAsia="宋体" w:cs="Times New Roman (正文 CS 字体)"/>
          <w:bCs/>
        </w:rPr>
        <w:t>。</w:t>
      </w:r>
    </w:p>
    <w:p w14:paraId="6BDB95CD">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 xml:space="preserve">第七条 </w:t>
      </w:r>
      <w:r>
        <w:rPr>
          <w:rFonts w:ascii="宋体" w:hAnsi="宋体" w:eastAsia="宋体" w:cs="Times New Roman (正文 CS 字体)"/>
          <w:bCs/>
        </w:rPr>
        <w:t xml:space="preserve"> </w:t>
      </w:r>
      <w:r>
        <w:rPr>
          <w:rFonts w:hint="eastAsia" w:ascii="宋体" w:hAnsi="宋体" w:eastAsia="宋体" w:cs="Times New Roman (正文 CS 字体)"/>
          <w:bCs/>
        </w:rPr>
        <w:t>捐赠人可以就捐赠财产的种类、质量、数量、用途等内容与本基金会订立捐赠协议，基金会应当严格按照捐赠协议约定的用途使用捐赠财产。</w:t>
      </w:r>
    </w:p>
    <w:p w14:paraId="620EC01F">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第八条</w:t>
      </w:r>
      <w:r>
        <w:rPr>
          <w:rFonts w:ascii="宋体" w:hAnsi="宋体" w:eastAsia="宋体" w:cs="Times New Roman (正文 CS 字体)"/>
          <w:bCs/>
        </w:rPr>
        <w:t xml:space="preserve">  </w:t>
      </w:r>
      <w:r>
        <w:rPr>
          <w:rFonts w:hint="eastAsia" w:ascii="宋体" w:hAnsi="宋体" w:eastAsia="宋体" w:cs="Times New Roman (正文 CS 字体)"/>
          <w:bCs/>
        </w:rPr>
        <w:t>捐赠人违反捐赠协议逾期未交付捐赠财产，有下列情形之一的，基金会可以要求交付；捐赠人拒不交付的，基金会可以依法向人民法院申请支付令或者提起诉讼：</w:t>
      </w:r>
    </w:p>
    <w:p w14:paraId="6AED5FC4">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1</w:t>
      </w:r>
      <w:r>
        <w:rPr>
          <w:rFonts w:ascii="宋体" w:hAnsi="宋体" w:eastAsia="宋体" w:cs="Times New Roman (正文 CS 字体)"/>
          <w:bCs/>
        </w:rPr>
        <w:t xml:space="preserve">. </w:t>
      </w:r>
      <w:r>
        <w:rPr>
          <w:rFonts w:hint="eastAsia" w:ascii="宋体" w:hAnsi="宋体" w:eastAsia="宋体" w:cs="Times New Roman (正文 CS 字体)"/>
          <w:bCs/>
        </w:rPr>
        <w:t>捐赠人通过广播、电视、报刊、互联网等媒体公开承诺捐赠的；</w:t>
      </w:r>
    </w:p>
    <w:p w14:paraId="2F7FE1BC">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2</w:t>
      </w:r>
      <w:r>
        <w:rPr>
          <w:rFonts w:ascii="宋体" w:hAnsi="宋体" w:eastAsia="宋体" w:cs="Times New Roman (正文 CS 字体)"/>
          <w:bCs/>
        </w:rPr>
        <w:t xml:space="preserve">. </w:t>
      </w:r>
      <w:r>
        <w:rPr>
          <w:rFonts w:hint="eastAsia" w:ascii="宋体" w:hAnsi="宋体" w:eastAsia="宋体" w:cs="Times New Roman (正文 CS 字体)"/>
          <w:bCs/>
        </w:rPr>
        <w:t>捐赠财产用于扶贫、济困、扶老、救孤、恤病、助残、优抚、救助自然灾害、事故灾难和公共卫生事件等突发事件造成的损害，并签订书面捐赠协议的。</w:t>
      </w:r>
    </w:p>
    <w:p w14:paraId="5803A2C4">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第九条</w:t>
      </w:r>
      <w:r>
        <w:rPr>
          <w:rFonts w:ascii="宋体" w:hAnsi="宋体" w:eastAsia="宋体" w:cs="Times New Roman (正文 CS 字体)"/>
          <w:bCs/>
        </w:rPr>
        <w:t xml:space="preserve">  </w:t>
      </w:r>
      <w:r>
        <w:rPr>
          <w:rFonts w:hint="eastAsia" w:ascii="宋体" w:hAnsi="宋体" w:eastAsia="宋体" w:cs="Times New Roman (正文 CS 字体)"/>
          <w:bCs/>
        </w:rPr>
        <w:t>捐赠财产应当是捐赠人有权处理的合法财产。捐赠实物的，捐赠人应当提交物品的发票、质量合格证明、有效期证明等资料；捐赠药品、医疗器械、化学制品以及进口商品等特殊物品的，捐赠人应当提交国家相关部门的检疫合格证明。</w:t>
      </w:r>
    </w:p>
    <w:p w14:paraId="1E881F42">
      <w:pPr>
        <w:spacing w:before="156" w:beforeLines="50" w:after="156" w:afterLines="50" w:line="480" w:lineRule="exact"/>
        <w:ind w:firstLine="480" w:firstLineChars="200"/>
        <w:jc w:val="center"/>
        <w:rPr>
          <w:rFonts w:ascii="宋体" w:hAnsi="宋体" w:eastAsia="宋体" w:cs="Times New Roman (正文 CS 字体)"/>
          <w:b/>
        </w:rPr>
      </w:pPr>
      <w:bookmarkStart w:id="171" w:name="_Toc1257144126_WPSOffice_Level1"/>
      <w:bookmarkStart w:id="172" w:name="_Toc23166777_WPSOffice_Level1"/>
      <w:r>
        <w:rPr>
          <w:rFonts w:hint="eastAsia" w:ascii="宋体" w:hAnsi="宋体" w:eastAsia="宋体" w:cs="Times New Roman (正文 CS 字体)"/>
          <w:b/>
        </w:rPr>
        <w:t>第三章 非现金捐赠</w:t>
      </w:r>
      <w:bookmarkEnd w:id="171"/>
      <w:bookmarkEnd w:id="172"/>
    </w:p>
    <w:p w14:paraId="6723E996">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 xml:space="preserve">第十条 </w:t>
      </w:r>
      <w:r>
        <w:rPr>
          <w:rFonts w:ascii="宋体" w:hAnsi="宋体" w:eastAsia="宋体" w:cs="Times New Roman (正文 CS 字体)"/>
          <w:bCs/>
        </w:rPr>
        <w:t xml:space="preserve"> </w:t>
      </w:r>
      <w:r>
        <w:rPr>
          <w:rFonts w:hint="eastAsia" w:ascii="宋体" w:hAnsi="宋体" w:eastAsia="宋体" w:cs="Times New Roman (正文 CS 字体)"/>
          <w:bCs/>
        </w:rPr>
        <w:t>基金会接受非现金捐赠，应当按照以下方法确定入账价值：</w:t>
      </w:r>
    </w:p>
    <w:p w14:paraId="67C50BB0">
      <w:pPr>
        <w:spacing w:before="156" w:beforeLines="50" w:after="156" w:afterLines="50" w:line="480" w:lineRule="exact"/>
        <w:ind w:firstLine="480" w:firstLineChars="200"/>
        <w:rPr>
          <w:rFonts w:ascii="宋体" w:hAnsi="宋体" w:eastAsia="宋体" w:cs="Times New Roman (正文 CS 字体)"/>
          <w:bCs/>
        </w:rPr>
      </w:pPr>
      <w:r>
        <w:rPr>
          <w:rFonts w:ascii="宋体" w:hAnsi="宋体" w:eastAsia="宋体" w:cs="Times New Roman (正文 CS 字体)"/>
          <w:bCs/>
        </w:rPr>
        <w:t>1. 捐赠人提供了发票、报关单等凭据的，应当以相关凭据作为确认入账价值的依据；捐赠</w:t>
      </w:r>
      <w:r>
        <w:rPr>
          <w:rFonts w:hint="eastAsia" w:ascii="宋体" w:hAnsi="宋体" w:eastAsia="宋体" w:cs="Times New Roman (正文 CS 字体)"/>
          <w:bCs/>
        </w:rPr>
        <w:t>人</w:t>
      </w:r>
      <w:r>
        <w:rPr>
          <w:rFonts w:ascii="宋体" w:hAnsi="宋体" w:eastAsia="宋体" w:cs="Times New Roman (正文 CS 字体)"/>
          <w:bCs/>
        </w:rPr>
        <w:t>不能提供凭据的，应当以其他确认捐赠财产的证明，作为确认入账价值的依据；</w:t>
      </w:r>
    </w:p>
    <w:p w14:paraId="0D5E43DF">
      <w:pPr>
        <w:spacing w:before="156" w:beforeLines="50" w:after="156" w:afterLines="50" w:line="480" w:lineRule="exact"/>
        <w:ind w:firstLine="480" w:firstLineChars="200"/>
        <w:rPr>
          <w:rFonts w:ascii="宋体" w:hAnsi="宋体" w:eastAsia="宋体" w:cs="Times New Roman (正文 CS 字体)"/>
          <w:bCs/>
        </w:rPr>
      </w:pPr>
      <w:r>
        <w:rPr>
          <w:rFonts w:ascii="宋体" w:hAnsi="宋体" w:eastAsia="宋体" w:cs="Times New Roman (正文 CS 字体)"/>
          <w:bCs/>
        </w:rPr>
        <w:t>2. 捐赠人提供的凭据或其他能够确认受赠资产价值的证明上标明的金额与受赠资产公允价值相差较大的，应当以其公允价值作为入账价值。</w:t>
      </w:r>
    </w:p>
    <w:p w14:paraId="745E68D2">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如果同类或者类似资产不存在活跃市场，或者无法找到同类或者类似资产的，应当以具有合法资质的第三方机构的评估作为确认入账价值的依据。无法评估或经评估无法确认价格的，基金会不得计入捐赠收入，不得开具捐赠票据，应当另外造册登记。</w:t>
      </w:r>
    </w:p>
    <w:p w14:paraId="64E843F0">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第十一条  接受实物捐赠的，基金会应当确保物品在到达最终受益人时仍处于保质期内且具有使用价值。</w:t>
      </w:r>
    </w:p>
    <w:p w14:paraId="3D832D92">
      <w:pPr>
        <w:spacing w:before="156" w:beforeLines="50" w:after="156" w:afterLines="50" w:line="480" w:lineRule="exact"/>
        <w:jc w:val="center"/>
        <w:rPr>
          <w:rFonts w:ascii="宋体" w:hAnsi="宋体" w:eastAsia="宋体" w:cs="Times New Roman (正文 CS 字体)"/>
          <w:b/>
        </w:rPr>
      </w:pPr>
      <w:bookmarkStart w:id="173" w:name="_Toc1877206496_WPSOffice_Level1"/>
      <w:bookmarkStart w:id="174" w:name="_Toc669480932_WPSOffice_Level1"/>
      <w:r>
        <w:rPr>
          <w:rFonts w:hint="eastAsia" w:ascii="宋体" w:hAnsi="宋体" w:eastAsia="宋体" w:cs="Times New Roman (正文 CS 字体)"/>
          <w:b/>
        </w:rPr>
        <w:t>第四章 捐赠财产的使用</w:t>
      </w:r>
      <w:bookmarkEnd w:id="173"/>
      <w:bookmarkEnd w:id="174"/>
    </w:p>
    <w:p w14:paraId="6C781CA4">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 xml:space="preserve">第十二条 </w:t>
      </w:r>
      <w:r>
        <w:rPr>
          <w:rFonts w:ascii="宋体" w:hAnsi="宋体" w:eastAsia="宋体" w:cs="Times New Roman (正文 CS 字体)"/>
          <w:bCs/>
        </w:rPr>
        <w:t xml:space="preserve"> </w:t>
      </w:r>
      <w:r>
        <w:rPr>
          <w:rFonts w:hint="eastAsia" w:ascii="宋体" w:hAnsi="宋体" w:eastAsia="宋体" w:cs="Times New Roman (正文 CS 字体)"/>
          <w:bCs/>
        </w:rPr>
        <w:t>基金会受赠的财产应当用于基金会章程规定的宗旨和范围，对于不易储存、运输和超过实际需要的受赠财产，基金会可以变卖，所取得的全部收入，应当用于捐赠目的。</w:t>
      </w:r>
    </w:p>
    <w:p w14:paraId="56EFC147">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 xml:space="preserve">第十三条 </w:t>
      </w:r>
      <w:r>
        <w:rPr>
          <w:rFonts w:ascii="宋体" w:hAnsi="宋体" w:eastAsia="宋体" w:cs="Times New Roman (正文 CS 字体)"/>
          <w:bCs/>
        </w:rPr>
        <w:t xml:space="preserve"> </w:t>
      </w:r>
      <w:r>
        <w:rPr>
          <w:rFonts w:hint="eastAsia" w:ascii="宋体" w:hAnsi="宋体" w:eastAsia="宋体" w:cs="Times New Roman (正文 CS 字体)"/>
          <w:bCs/>
        </w:rPr>
        <w:t>基金会应当严格按照捐赠协议约定的用途使用受赠财产，不得擅自挪作他用。如确需改变用途的，应当事先征得捐赠人的同意，并召开理事会形成决议。</w:t>
      </w:r>
    </w:p>
    <w:p w14:paraId="46D6AAD1">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如确实无法征求捐赠人意见的，应当按照基金会的宗旨用于与原公益目的相近似的目的。</w:t>
      </w:r>
    </w:p>
    <w:p w14:paraId="3463EE97">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 xml:space="preserve">第十四条 </w:t>
      </w:r>
      <w:r>
        <w:rPr>
          <w:rFonts w:ascii="宋体" w:hAnsi="宋体" w:eastAsia="宋体" w:cs="Times New Roman (正文 CS 字体)"/>
          <w:bCs/>
        </w:rPr>
        <w:t xml:space="preserve"> </w:t>
      </w:r>
      <w:r>
        <w:rPr>
          <w:rFonts w:hint="eastAsia" w:ascii="宋体" w:hAnsi="宋体" w:eastAsia="宋体" w:cs="Times New Roman (正文 CS 字体)"/>
          <w:bCs/>
        </w:rPr>
        <w:t>基金会应当遵循公开、公正、公平和诚实信用的原则选定公益项目和受益人，不得资助以营利为目的开展的活动。</w:t>
      </w:r>
    </w:p>
    <w:p w14:paraId="78C4E873">
      <w:pPr>
        <w:spacing w:before="156" w:beforeLines="50" w:after="156" w:afterLines="50" w:line="480" w:lineRule="exact"/>
        <w:ind w:firstLine="480" w:firstLineChars="200"/>
        <w:jc w:val="center"/>
        <w:rPr>
          <w:rFonts w:ascii="宋体" w:hAnsi="宋体" w:eastAsia="宋体" w:cs="Times New Roman (正文 CS 字体)"/>
          <w:b/>
        </w:rPr>
      </w:pPr>
      <w:bookmarkStart w:id="175" w:name="_Toc1527320195_WPSOffice_Level1"/>
      <w:bookmarkStart w:id="176" w:name="_Toc1299197491_WPSOffice_Level1"/>
      <w:r>
        <w:rPr>
          <w:rFonts w:hint="eastAsia" w:ascii="宋体" w:hAnsi="宋体" w:eastAsia="宋体" w:cs="Times New Roman (正文 CS 字体)"/>
          <w:b/>
        </w:rPr>
        <w:t>第五章 接受监督</w:t>
      </w:r>
      <w:bookmarkEnd w:id="175"/>
      <w:bookmarkEnd w:id="176"/>
    </w:p>
    <w:p w14:paraId="35167C90">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第十五条</w:t>
      </w:r>
      <w:r>
        <w:rPr>
          <w:rFonts w:ascii="宋体" w:hAnsi="宋体" w:eastAsia="宋体" w:cs="Times New Roman (正文 CS 字体)"/>
          <w:bCs/>
        </w:rPr>
        <w:t xml:space="preserve">  </w:t>
      </w:r>
      <w:r>
        <w:rPr>
          <w:rFonts w:hint="eastAsia" w:ascii="宋体" w:hAnsi="宋体" w:eastAsia="宋体" w:cs="Times New Roman (正文 CS 字体)"/>
          <w:bCs/>
        </w:rPr>
        <w:t>捐赠人向基金会查询捐赠财产的使用、情况的，基金会应当如实回答。</w:t>
      </w:r>
    </w:p>
    <w:p w14:paraId="3AB572A9">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第十六条</w:t>
      </w:r>
      <w:r>
        <w:rPr>
          <w:rFonts w:ascii="宋体" w:hAnsi="宋体" w:eastAsia="宋体" w:cs="Times New Roman (正文 CS 字体)"/>
          <w:bCs/>
        </w:rPr>
        <w:t xml:space="preserve">  </w:t>
      </w:r>
      <w:r>
        <w:rPr>
          <w:rFonts w:hint="eastAsia" w:ascii="宋体" w:hAnsi="宋体" w:eastAsia="宋体" w:cs="Times New Roman (正文 CS 字体)"/>
          <w:bCs/>
        </w:rPr>
        <w:t>基金会应当向社会公开接受捐赠的情况和受赠财产的使用、管理情况，接受社会监督。</w:t>
      </w:r>
    </w:p>
    <w:p w14:paraId="5DFC88C5">
      <w:pPr>
        <w:spacing w:before="156" w:beforeLines="50" w:after="156" w:afterLines="50" w:line="480" w:lineRule="exact"/>
        <w:ind w:firstLine="480" w:firstLineChars="200"/>
        <w:jc w:val="center"/>
        <w:rPr>
          <w:rFonts w:ascii="宋体" w:hAnsi="宋体" w:eastAsia="宋体" w:cs="Times New Roman (正文 CS 字体)"/>
          <w:b/>
        </w:rPr>
      </w:pPr>
      <w:bookmarkStart w:id="177" w:name="_Toc798484774_WPSOffice_Level1"/>
      <w:bookmarkStart w:id="178" w:name="_Toc2145992188_WPSOffice_Level1"/>
      <w:r>
        <w:rPr>
          <w:rFonts w:hint="eastAsia" w:ascii="宋体" w:hAnsi="宋体" w:eastAsia="宋体" w:cs="Times New Roman (正文 CS 字体)"/>
          <w:b/>
        </w:rPr>
        <w:t>第六章 附则</w:t>
      </w:r>
      <w:bookmarkEnd w:id="177"/>
      <w:bookmarkEnd w:id="178"/>
    </w:p>
    <w:p w14:paraId="3C17E36E">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第十七条</w:t>
      </w:r>
      <w:r>
        <w:rPr>
          <w:rFonts w:ascii="宋体" w:hAnsi="宋体" w:eastAsia="宋体" w:cs="Times New Roman (正文 CS 字体)"/>
          <w:bCs/>
        </w:rPr>
        <w:t xml:space="preserve">  </w:t>
      </w:r>
      <w:r>
        <w:rPr>
          <w:rFonts w:hint="eastAsia" w:ascii="宋体" w:hAnsi="宋体" w:eastAsia="宋体" w:cs="Times New Roman (正文 CS 字体)"/>
          <w:bCs/>
        </w:rPr>
        <w:t>本制度未尽事宜或与有关规定不一致的，按有关规定执行。</w:t>
      </w:r>
    </w:p>
    <w:p w14:paraId="7B7CC215">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 xml:space="preserve">第十八条 </w:t>
      </w:r>
      <w:r>
        <w:rPr>
          <w:rFonts w:ascii="宋体" w:hAnsi="宋体" w:eastAsia="宋体" w:cs="Times New Roman (正文 CS 字体)"/>
          <w:bCs/>
        </w:rPr>
        <w:t xml:space="preserve"> 本制度</w:t>
      </w:r>
      <w:r>
        <w:rPr>
          <w:rFonts w:hint="eastAsia" w:ascii="宋体" w:hAnsi="宋体" w:eastAsia="宋体" w:cs="Times New Roman (正文 CS 字体)"/>
          <w:bCs/>
        </w:rPr>
        <w:t>由理事会负责解释</w:t>
      </w:r>
    </w:p>
    <w:p w14:paraId="7C2E98A2">
      <w:pPr>
        <w:spacing w:before="156" w:beforeLines="50" w:after="156" w:afterLines="50" w:line="480" w:lineRule="exact"/>
        <w:ind w:firstLine="480" w:firstLineChars="200"/>
        <w:rPr>
          <w:rFonts w:ascii="宋体" w:hAnsi="宋体" w:eastAsia="宋体" w:cs="Times New Roman (正文 CS 字体)"/>
          <w:bCs/>
        </w:rPr>
      </w:pPr>
      <w:r>
        <w:rPr>
          <w:rFonts w:hint="eastAsia" w:ascii="宋体" w:hAnsi="宋体" w:eastAsia="宋体" w:cs="Times New Roman (正文 CS 字体)"/>
          <w:bCs/>
        </w:rPr>
        <w:t>第十九条</w:t>
      </w:r>
      <w:r>
        <w:rPr>
          <w:rFonts w:ascii="宋体" w:hAnsi="宋体" w:eastAsia="宋体" w:cs="Times New Roman (正文 CS 字体)"/>
          <w:bCs/>
        </w:rPr>
        <w:t xml:space="preserve">  本制度</w:t>
      </w:r>
      <w:r>
        <w:rPr>
          <w:rFonts w:hint="eastAsia" w:ascii="宋体" w:hAnsi="宋体" w:eastAsia="宋体" w:cs="Times New Roman (正文 CS 字体)"/>
          <w:bCs/>
        </w:rPr>
        <w:t>自</w:t>
      </w:r>
      <w:r>
        <w:rPr>
          <w:rFonts w:ascii="宋体" w:hAnsi="宋体" w:eastAsia="宋体" w:cs="Times New Roman (正文 CS 字体)"/>
          <w:bCs/>
        </w:rPr>
        <w:t>理事会</w:t>
      </w:r>
      <w:r>
        <w:rPr>
          <w:rFonts w:hint="eastAsia" w:ascii="宋体" w:hAnsi="宋体" w:eastAsia="宋体" w:cs="Times New Roman (正文 CS 字体)"/>
          <w:bCs/>
        </w:rPr>
        <w:t>审议</w:t>
      </w:r>
      <w:r>
        <w:rPr>
          <w:rFonts w:ascii="宋体" w:hAnsi="宋体" w:eastAsia="宋体" w:cs="Times New Roman (正文 CS 字体)"/>
          <w:bCs/>
        </w:rPr>
        <w:t>通过</w:t>
      </w:r>
      <w:r>
        <w:rPr>
          <w:rFonts w:hint="eastAsia" w:ascii="宋体" w:hAnsi="宋体" w:eastAsia="宋体" w:cs="Times New Roman (正文 CS 字体)"/>
          <w:bCs/>
        </w:rPr>
        <w:t>后执行。</w:t>
      </w:r>
    </w:p>
    <w:p w14:paraId="22A28C8B">
      <w:pPr>
        <w:spacing w:before="156" w:beforeLines="50" w:after="156" w:afterLines="50" w:line="480" w:lineRule="exact"/>
        <w:ind w:firstLine="480" w:firstLineChars="200"/>
        <w:rPr>
          <w:rFonts w:ascii="宋体" w:hAnsi="宋体" w:eastAsia="宋体" w:cs="Times New Roman (正文 CS 字体)"/>
          <w:bCs/>
        </w:rPr>
      </w:pPr>
    </w:p>
    <w:p w14:paraId="50F6768E">
      <w:r>
        <w:br w:type="page"/>
      </w:r>
    </w:p>
    <w:p w14:paraId="1A2EF90F">
      <w:pPr>
        <w:pStyle w:val="2"/>
      </w:pPr>
      <w:bookmarkStart w:id="179" w:name="_Toc702852351_WPSOffice_Level1"/>
      <w:bookmarkStart w:id="180" w:name="_Toc733368109"/>
      <w:bookmarkStart w:id="181" w:name="_Toc1197648822"/>
      <w:r>
        <w:t>北京中致儿童关爱</w:t>
      </w:r>
      <w:r>
        <w:rPr>
          <w:rFonts w:hint="eastAsia"/>
        </w:rPr>
        <w:t>基金会</w:t>
      </w:r>
      <w:bookmarkEnd w:id="179"/>
      <w:bookmarkEnd w:id="180"/>
      <w:bookmarkEnd w:id="181"/>
    </w:p>
    <w:p w14:paraId="17157544">
      <w:pPr>
        <w:pStyle w:val="2"/>
      </w:pPr>
      <w:bookmarkStart w:id="182" w:name="_Toc1679404757_WPSOffice_Level1"/>
      <w:bookmarkStart w:id="183" w:name="_Toc81509839_WPSOffice_Level1"/>
      <w:bookmarkStart w:id="184" w:name="_Toc1309157830"/>
      <w:bookmarkStart w:id="185" w:name="_Toc519528023"/>
      <w:r>
        <w:rPr>
          <w:rFonts w:hint="eastAsia"/>
        </w:rPr>
        <w:t>人事管理制度</w:t>
      </w:r>
      <w:bookmarkEnd w:id="182"/>
      <w:bookmarkEnd w:id="183"/>
      <w:bookmarkEnd w:id="184"/>
      <w:bookmarkEnd w:id="185"/>
    </w:p>
    <w:p w14:paraId="2D4069C0">
      <w:pPr>
        <w:pStyle w:val="15"/>
        <w:shd w:val="clear" w:color="auto" w:fill="FFFFFF"/>
        <w:spacing w:before="156" w:beforeLines="50" w:beforeAutospacing="0" w:after="156" w:afterLines="50" w:afterAutospacing="0" w:line="480" w:lineRule="exact"/>
        <w:jc w:val="center"/>
        <w:rPr>
          <w:rFonts w:ascii="宋体" w:hAnsi="宋体" w:eastAsia="宋体"/>
          <w:color w:val="000000" w:themeColor="text1"/>
          <w:sz w:val="24"/>
          <w:szCs w:val="24"/>
          <w14:textFill>
            <w14:solidFill>
              <w14:schemeClr w14:val="tx1"/>
            </w14:solidFill>
          </w14:textFill>
        </w:rPr>
      </w:pPr>
      <w:bookmarkStart w:id="186" w:name="_Toc1988780934_WPSOffice_Level1"/>
      <w:bookmarkStart w:id="187" w:name="_Toc1378178378_WPSOffice_Level1"/>
      <w:r>
        <w:rPr>
          <w:rStyle w:val="20"/>
          <w:rFonts w:hint="eastAsia" w:ascii="宋体" w:hAnsi="宋体" w:eastAsia="宋体"/>
          <w:color w:val="000000" w:themeColor="text1"/>
          <w:sz w:val="24"/>
          <w:szCs w:val="24"/>
          <w14:textFill>
            <w14:solidFill>
              <w14:schemeClr w14:val="tx1"/>
            </w14:solidFill>
          </w14:textFill>
        </w:rPr>
        <w:t>第一章  总 则</w:t>
      </w:r>
      <w:bookmarkEnd w:id="186"/>
      <w:bookmarkEnd w:id="187"/>
    </w:p>
    <w:p w14:paraId="1B25BF7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第一条 为加强本基金会人事管理，合理开发使用人力资源，激发进取精神，增强内部活力，提高队伍整体素质，根据《劳动法》《劳动合同法》《民政部关于加强社会组织专职工作人员劳动合同管理的通知》（民发〔2011〕155号）《劳动和社会保障部、民政部关于社会组织专职工作人员参加养老保险有关问题的通知》(劳社部发〔2008〕11号)等规定和本基金会章程，结合实际，制定本制度。</w:t>
      </w:r>
    </w:p>
    <w:p w14:paraId="12302F5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第二条 本基金会人事管理工作，除严格执行国家和北京市相关规定外，依照本制度对工作人员实施管理。</w:t>
      </w:r>
    </w:p>
    <w:p w14:paraId="5D9441DE">
      <w:pPr>
        <w:pStyle w:val="15"/>
        <w:shd w:val="clear" w:color="auto" w:fill="FFFFFF"/>
        <w:spacing w:before="156" w:beforeLines="50" w:beforeAutospacing="0" w:after="156" w:afterLines="50" w:afterAutospacing="0" w:line="480" w:lineRule="exact"/>
        <w:jc w:val="center"/>
        <w:rPr>
          <w:rStyle w:val="20"/>
        </w:rPr>
      </w:pPr>
      <w:bookmarkStart w:id="188" w:name="_Toc285382504_WPSOffice_Level1"/>
      <w:bookmarkStart w:id="189" w:name="_Toc2005675830_WPSOffice_Level1"/>
      <w:r>
        <w:rPr>
          <w:rStyle w:val="20"/>
          <w:rFonts w:hint="eastAsia" w:ascii="宋体" w:hAnsi="宋体" w:eastAsia="宋体"/>
          <w:color w:val="000000" w:themeColor="text1"/>
          <w:sz w:val="24"/>
          <w:szCs w:val="24"/>
          <w14:textFill>
            <w14:solidFill>
              <w14:schemeClr w14:val="tx1"/>
            </w14:solidFill>
          </w14:textFill>
        </w:rPr>
        <w:t>第二章 人员聘用</w:t>
      </w:r>
      <w:bookmarkEnd w:id="188"/>
      <w:bookmarkEnd w:id="189"/>
    </w:p>
    <w:p w14:paraId="1BAFBCC4">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第三条 本基金会工作人员，实行聘用制。</w:t>
      </w:r>
    </w:p>
    <w:p w14:paraId="3FE959E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第四条 聘用工作人员应当坚持注重品德、尊重人才，着重实际，公平、公正、择优的原则。</w:t>
      </w:r>
    </w:p>
    <w:p w14:paraId="762A132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第五条 基金会试聘工作人员，试用期内表现不能胜任其岗位工作的，基金会可随时终止试用；试用期满考核合格，应与基金会签订聘用合同，双方共同遵守。</w:t>
      </w:r>
    </w:p>
    <w:p w14:paraId="472DE07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第六条 基金会副秘书长，财务负责人，内设部门及分支机构、代表机构负责人聘任，须经理事会审议通过。</w:t>
      </w:r>
    </w:p>
    <w:p w14:paraId="4609F819">
      <w:pPr>
        <w:pStyle w:val="15"/>
        <w:shd w:val="clear" w:color="auto" w:fill="FFFFFF"/>
        <w:spacing w:before="156" w:beforeLines="50" w:beforeAutospacing="0" w:after="156" w:afterLines="50" w:afterAutospacing="0" w:line="480" w:lineRule="exact"/>
        <w:jc w:val="center"/>
        <w:rPr>
          <w:rStyle w:val="20"/>
          <w:rFonts w:ascii="宋体" w:hAnsi="宋体" w:eastAsia="宋体"/>
          <w:color w:val="000000" w:themeColor="text1"/>
          <w:sz w:val="24"/>
          <w:szCs w:val="24"/>
          <w14:textFill>
            <w14:solidFill>
              <w14:schemeClr w14:val="tx1"/>
            </w14:solidFill>
          </w14:textFill>
        </w:rPr>
      </w:pPr>
      <w:bookmarkStart w:id="190" w:name="_Toc342867851_WPSOffice_Level1"/>
      <w:bookmarkStart w:id="191" w:name="_Toc1092760977_WPSOffice_Level1"/>
      <w:r>
        <w:rPr>
          <w:rStyle w:val="20"/>
          <w:rFonts w:hint="eastAsia" w:ascii="宋体" w:hAnsi="宋体" w:eastAsia="宋体"/>
          <w:color w:val="000000" w:themeColor="text1"/>
          <w:sz w:val="24"/>
          <w:szCs w:val="24"/>
          <w14:textFill>
            <w14:solidFill>
              <w14:schemeClr w14:val="tx1"/>
            </w14:solidFill>
          </w14:textFill>
        </w:rPr>
        <w:t>第三章  管 理</w:t>
      </w:r>
      <w:bookmarkEnd w:id="190"/>
      <w:bookmarkEnd w:id="191"/>
    </w:p>
    <w:p w14:paraId="077FA50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第七条 秘书长负责基金会的人事计划、人员培训、劳动工资、劳保福利和考核奖惩等项工作的实施，办理工作人员的试用、聘用、解聘、辞职、辞退、除名、开除等各项手续，以及理事会授权或交办的其他人事管理事项。</w:t>
      </w:r>
    </w:p>
    <w:p w14:paraId="46EA13F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第八条 新聘工作人员正式上岗，应当接受岗前培训。培训内容包括基金会基本知识、职业道德和执业纪律教育、本基金会章程及制度、本岗业务知识及工作流程等。</w:t>
      </w:r>
    </w:p>
    <w:p w14:paraId="1D0CED8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第九条 定期和不定期的组织安排工作人员进行岗位技能进修培训。</w:t>
      </w:r>
      <w:r>
        <w:rPr>
          <w:rFonts w:hint="eastAsia"/>
        </w:rPr>
        <w:t> </w:t>
      </w:r>
    </w:p>
    <w:p w14:paraId="14023FF9">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第十条 实行工作人员考核及奖惩制度，并以考核结果作为工作人员任用和奖惩的主要依据。</w:t>
      </w:r>
    </w:p>
    <w:p w14:paraId="355CEFB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第十一条 基金会有权辞退不合格的员工。员工有辞职的自由，但均须按规定履行手续。</w:t>
      </w:r>
    </w:p>
    <w:p w14:paraId="4964815D">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第十二条 员工必须遵守《员工守则》以及基金会各项规章制度，凡有违反并经教育不改者，基金会有权予以解聘、辞退。员工严重违反规章制度、情形恶劣或者违法犯罪的，基金会有权予以开除；对给本基金会造成损失的，追究相关责任。</w:t>
      </w:r>
    </w:p>
    <w:p w14:paraId="2FC3B6BC">
      <w:pPr>
        <w:pStyle w:val="15"/>
        <w:shd w:val="clear" w:color="auto" w:fill="FFFFFF"/>
        <w:spacing w:before="156" w:beforeLines="50" w:beforeAutospacing="0" w:after="156" w:afterLines="50" w:afterAutospacing="0" w:line="480" w:lineRule="exact"/>
        <w:jc w:val="center"/>
        <w:rPr>
          <w:rStyle w:val="20"/>
        </w:rPr>
      </w:pPr>
      <w:bookmarkStart w:id="192" w:name="_Toc753591295_WPSOffice_Level1"/>
      <w:bookmarkStart w:id="193" w:name="_Toc881346856_WPSOffice_Level1"/>
      <w:r>
        <w:rPr>
          <w:rStyle w:val="20"/>
          <w:rFonts w:hint="eastAsia" w:ascii="宋体" w:hAnsi="宋体" w:eastAsia="宋体"/>
          <w:color w:val="000000" w:themeColor="text1"/>
          <w:sz w:val="24"/>
          <w:szCs w:val="24"/>
          <w14:textFill>
            <w14:solidFill>
              <w14:schemeClr w14:val="tx1"/>
            </w14:solidFill>
          </w14:textFill>
        </w:rPr>
        <w:t>第四章  待 遇</w:t>
      </w:r>
      <w:bookmarkEnd w:id="192"/>
      <w:bookmarkEnd w:id="193"/>
    </w:p>
    <w:p w14:paraId="02461DF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第十三条 基金会专职工作人员的工资及福利待遇依照国家和北京市有关规定执行。</w:t>
      </w:r>
    </w:p>
    <w:p w14:paraId="56F96EF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第十四条 基金会按照国家和北京市有关规定与专职工作人员签订劳动合同，为专职工作人员办理社会保险。</w:t>
      </w:r>
    </w:p>
    <w:p w14:paraId="3A23D85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第十五条 本基金会全体从业人员，在专业技术职称评定方面享受与国有企事业单位同类人员同等待遇。</w:t>
      </w:r>
    </w:p>
    <w:p w14:paraId="0C2EAEAA">
      <w:pPr>
        <w:pStyle w:val="15"/>
        <w:shd w:val="clear" w:color="auto" w:fill="FFFFFF"/>
        <w:spacing w:before="156" w:beforeLines="50" w:beforeAutospacing="0" w:after="156" w:afterLines="50" w:afterAutospacing="0" w:line="480" w:lineRule="exact"/>
        <w:jc w:val="center"/>
        <w:rPr>
          <w:rStyle w:val="20"/>
        </w:rPr>
      </w:pPr>
      <w:bookmarkStart w:id="194" w:name="_Toc1897828706_WPSOffice_Level1"/>
      <w:bookmarkStart w:id="195" w:name="_Toc1601895433_WPSOffice_Level1"/>
      <w:r>
        <w:rPr>
          <w:rStyle w:val="20"/>
          <w:rFonts w:hint="eastAsia" w:ascii="宋体" w:hAnsi="宋体" w:eastAsia="宋体"/>
          <w:color w:val="000000" w:themeColor="text1"/>
          <w:sz w:val="24"/>
          <w:szCs w:val="24"/>
          <w14:textFill>
            <w14:solidFill>
              <w14:schemeClr w14:val="tx1"/>
            </w14:solidFill>
          </w14:textFill>
        </w:rPr>
        <w:t>第五章  附 则</w:t>
      </w:r>
      <w:bookmarkEnd w:id="194"/>
      <w:bookmarkEnd w:id="195"/>
    </w:p>
    <w:p w14:paraId="75EF604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第十六条 本制度未尽事宜或与有关规定不一致的，按有关规定执行。</w:t>
      </w:r>
    </w:p>
    <w:p w14:paraId="7B4EAB8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第十七条</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本制度由理事会负责解释。</w:t>
      </w:r>
    </w:p>
    <w:p w14:paraId="1416A15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第十八条</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本制度自理事会审议通过后执行。</w:t>
      </w:r>
    </w:p>
    <w:p w14:paraId="4337B3CF">
      <w:pPr>
        <w:spacing w:before="156" w:beforeLines="50" w:after="156" w:afterLines="50" w:line="480" w:lineRule="exact"/>
        <w:rPr>
          <w:color w:val="000000" w:themeColor="text1"/>
          <w14:textFill>
            <w14:solidFill>
              <w14:schemeClr w14:val="tx1"/>
            </w14:solidFill>
          </w14:textFill>
        </w:rPr>
      </w:pPr>
    </w:p>
    <w:p w14:paraId="4AF9F10D">
      <w:pPr>
        <w:pStyle w:val="2"/>
      </w:pPr>
      <w:bookmarkStart w:id="196" w:name="_Toc2045685295"/>
      <w:bookmarkStart w:id="197" w:name="_Toc38973859"/>
      <w:bookmarkStart w:id="198" w:name="_Toc232452851_WPSOffice_Level1"/>
      <w:r>
        <w:t>北京中致儿童关爱</w:t>
      </w:r>
      <w:r>
        <w:rPr>
          <w:rFonts w:hint="eastAsia"/>
        </w:rPr>
        <w:t>基金会</w:t>
      </w:r>
      <w:bookmarkEnd w:id="196"/>
      <w:bookmarkEnd w:id="197"/>
      <w:bookmarkEnd w:id="198"/>
    </w:p>
    <w:p w14:paraId="71A16C4B">
      <w:pPr>
        <w:pStyle w:val="2"/>
      </w:pPr>
      <w:bookmarkStart w:id="199" w:name="_Toc562312864_WPSOffice_Level1"/>
      <w:bookmarkStart w:id="200" w:name="_Toc200702863_WPSOffice_Level1"/>
      <w:bookmarkStart w:id="201" w:name="_Toc619564595"/>
      <w:bookmarkStart w:id="202" w:name="_Toc51135878"/>
      <w:r>
        <w:rPr>
          <w:rFonts w:hint="eastAsia"/>
        </w:rPr>
        <w:t>捐赠票据管理制度</w:t>
      </w:r>
      <w:bookmarkEnd w:id="199"/>
      <w:bookmarkEnd w:id="200"/>
      <w:bookmarkEnd w:id="201"/>
      <w:bookmarkEnd w:id="202"/>
    </w:p>
    <w:p w14:paraId="58C45AA7">
      <w:pPr>
        <w:pStyle w:val="15"/>
        <w:shd w:val="clear" w:color="auto" w:fill="FFFFFF"/>
        <w:spacing w:before="156" w:beforeLines="50" w:beforeAutospacing="0" w:after="156" w:afterLines="50" w:afterAutospacing="0" w:line="480" w:lineRule="exact"/>
        <w:ind w:firstLine="480" w:firstLineChars="200"/>
        <w:jc w:val="center"/>
        <w:rPr>
          <w:rFonts w:ascii="宋体" w:hAnsi="宋体" w:eastAsia="宋体"/>
          <w:b/>
          <w:bCs/>
          <w:color w:val="000000" w:themeColor="text1"/>
          <w:sz w:val="24"/>
          <w:szCs w:val="24"/>
          <w14:textFill>
            <w14:solidFill>
              <w14:schemeClr w14:val="tx1"/>
            </w14:solidFill>
          </w14:textFill>
        </w:rPr>
      </w:pPr>
      <w:bookmarkStart w:id="203" w:name="_Toc1663692651_WPSOffice_Level1"/>
      <w:bookmarkStart w:id="204" w:name="_Toc1864258448_WPSOffice_Level1"/>
      <w:r>
        <w:rPr>
          <w:rFonts w:hint="eastAsia" w:ascii="宋体" w:hAnsi="宋体" w:eastAsia="宋体"/>
          <w:b/>
          <w:bCs/>
          <w:color w:val="000000" w:themeColor="text1"/>
          <w:sz w:val="24"/>
          <w:szCs w:val="24"/>
          <w14:textFill>
            <w14:solidFill>
              <w14:schemeClr w14:val="tx1"/>
            </w14:solidFill>
          </w14:textFill>
        </w:rPr>
        <w:t xml:space="preserve">第一章 </w:t>
      </w:r>
      <w:r>
        <w:rPr>
          <w:rFonts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bCs/>
          <w:color w:val="000000" w:themeColor="text1"/>
          <w:sz w:val="24"/>
          <w:szCs w:val="24"/>
          <w14:textFill>
            <w14:solidFill>
              <w14:schemeClr w14:val="tx1"/>
            </w14:solidFill>
          </w14:textFill>
        </w:rPr>
        <w:t>总则</w:t>
      </w:r>
      <w:bookmarkEnd w:id="203"/>
      <w:bookmarkEnd w:id="204"/>
    </w:p>
    <w:p w14:paraId="7FD69799">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第一条 为健全和完善本基金会公益性捐赠票据管理制度，规范票据使用管理，根据《中华人民共和国公益事业捐赠法》《基金会管理条例》《财政部关于印发&lt;公益事业捐赠票据使用管理暂行办法&gt;》等规定和本基金会章程，结合实际，制定本制度。</w:t>
      </w:r>
    </w:p>
    <w:p w14:paraId="6682CE1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第二条 本基金会严格按照有关规定，健全捐赠票据内部管理制度，设置管理台账，由专人负责捐赠票据的领购、使用登记与保管，并按规定向同级财政部门报送捐赠票据的领购、使用、作废、结存以及接受捐赠和捐赠收入使用情况。</w:t>
      </w:r>
    </w:p>
    <w:p w14:paraId="4329AFA9">
      <w:pPr>
        <w:pStyle w:val="15"/>
        <w:shd w:val="clear" w:color="auto" w:fill="FFFFFF"/>
        <w:spacing w:before="156" w:beforeLines="50" w:beforeAutospacing="0" w:after="156" w:afterLines="50" w:afterAutospacing="0" w:line="480" w:lineRule="exact"/>
        <w:ind w:firstLine="480" w:firstLineChars="200"/>
        <w:jc w:val="center"/>
        <w:rPr>
          <w:rFonts w:ascii="宋体" w:hAnsi="宋体" w:eastAsia="宋体"/>
          <w:b/>
          <w:bCs/>
          <w:color w:val="000000" w:themeColor="text1"/>
          <w:sz w:val="24"/>
          <w:szCs w:val="24"/>
          <w14:textFill>
            <w14:solidFill>
              <w14:schemeClr w14:val="tx1"/>
            </w14:solidFill>
          </w14:textFill>
        </w:rPr>
      </w:pPr>
      <w:bookmarkStart w:id="205" w:name="_Toc1445301417_WPSOffice_Level1"/>
      <w:bookmarkStart w:id="206" w:name="_Toc805325806_WPSOffice_Level1"/>
      <w:r>
        <w:rPr>
          <w:rFonts w:hint="eastAsia" w:ascii="宋体" w:hAnsi="宋体" w:eastAsia="宋体"/>
          <w:b/>
          <w:bCs/>
          <w:color w:val="000000" w:themeColor="text1"/>
          <w:sz w:val="24"/>
          <w:szCs w:val="24"/>
          <w14:textFill>
            <w14:solidFill>
              <w14:schemeClr w14:val="tx1"/>
            </w14:solidFill>
          </w14:textFill>
        </w:rPr>
        <w:t>第二章 捐赠票据使用</w:t>
      </w:r>
      <w:bookmarkEnd w:id="205"/>
      <w:bookmarkEnd w:id="206"/>
    </w:p>
    <w:p w14:paraId="3144B5AB">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第三条 基金会接受用于其业务范围内的公益事业捐赠都要开具捐赠票据。基金会在实际收到公益捐赠后据实开具捐赠票据。捐赠人不需要捐赠票据的，或者匿名捐赠的，也应当开具捐赠票据，由基金会留存备查。</w:t>
      </w:r>
    </w:p>
    <w:p w14:paraId="33FA41B4">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接受非货币性捐赠时，应按其公允价值填开捐赠票据。</w:t>
      </w:r>
    </w:p>
    <w:p w14:paraId="22B7756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第四条 下列行为不得使用捐赠票据：</w:t>
      </w:r>
    </w:p>
    <w:p w14:paraId="731FB02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（一）集资、摊派、筹资、赞助等行为；</w:t>
      </w:r>
    </w:p>
    <w:p w14:paraId="21B6C4A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（二）以捐赠名义接受财物并与出资人利益相关的行为；</w:t>
      </w:r>
    </w:p>
    <w:p w14:paraId="7BA322E4">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（三）受赠财产未经基金会验收确认，由捐赠人直接转移给受助人或者第三方的；</w:t>
      </w:r>
    </w:p>
    <w:p w14:paraId="3C7E781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（四）非现金捐赠，且无法评估或经评估无法确认价格的；</w:t>
      </w:r>
    </w:p>
    <w:p w14:paraId="5AD10C1A">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（五）以捐赠名义从事营利活动的行为；</w:t>
      </w:r>
    </w:p>
    <w:p w14:paraId="20CA18D0">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（六）收取除捐赠以外的政府非税收入、医疗服务收入、资金往来款项等应使用其他相应财政票据的行为；</w:t>
      </w:r>
    </w:p>
    <w:p w14:paraId="0426B577">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（七）交换交易收入；</w:t>
      </w:r>
    </w:p>
    <w:p w14:paraId="5C0C37C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（八）按照税收制度规定应使用税务发票的行为；</w:t>
      </w:r>
    </w:p>
    <w:p w14:paraId="5BC57555">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（九）财政部门认定的其他行为。</w:t>
      </w:r>
    </w:p>
    <w:p w14:paraId="4133311E">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第五条 严禁转借、转让、代开、买卖、涂改、毁损、串用票据和超出规定项目、范围、标准使用捐赠票据。</w:t>
      </w:r>
    </w:p>
    <w:p w14:paraId="63F033A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第六条 要按照票据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p>
    <w:p w14:paraId="10FB3D48">
      <w:pPr>
        <w:pStyle w:val="15"/>
        <w:shd w:val="clear" w:color="auto" w:fill="FFFFFF"/>
        <w:spacing w:before="156" w:beforeLines="50" w:beforeAutospacing="0" w:after="156" w:afterLines="50" w:afterAutospacing="0" w:line="480" w:lineRule="exact"/>
        <w:ind w:firstLine="480" w:firstLineChars="200"/>
        <w:jc w:val="center"/>
        <w:rPr>
          <w:rFonts w:ascii="宋体" w:hAnsi="宋体" w:eastAsia="宋体"/>
          <w:b/>
          <w:bCs/>
          <w:color w:val="000000" w:themeColor="text1"/>
          <w:sz w:val="24"/>
          <w:szCs w:val="24"/>
          <w14:textFill>
            <w14:solidFill>
              <w14:schemeClr w14:val="tx1"/>
            </w14:solidFill>
          </w14:textFill>
        </w:rPr>
      </w:pPr>
      <w:bookmarkStart w:id="207" w:name="_Toc993384302_WPSOffice_Level1"/>
      <w:bookmarkStart w:id="208" w:name="_Toc1668878048_WPSOffice_Level1"/>
      <w:r>
        <w:rPr>
          <w:rFonts w:hint="eastAsia" w:ascii="宋体" w:hAnsi="宋体" w:eastAsia="宋体"/>
          <w:b/>
          <w:bCs/>
          <w:color w:val="000000" w:themeColor="text1"/>
          <w:sz w:val="24"/>
          <w:szCs w:val="24"/>
          <w14:textFill>
            <w14:solidFill>
              <w14:schemeClr w14:val="tx1"/>
            </w14:solidFill>
          </w14:textFill>
        </w:rPr>
        <w:t>第三章 捐赠票据的领购、保管</w:t>
      </w:r>
      <w:bookmarkEnd w:id="207"/>
      <w:bookmarkEnd w:id="208"/>
    </w:p>
    <w:p w14:paraId="116AA6E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第七条 领购捐赠票据时，应当检查是否有缺页、号码错误、毁损等情况，一经发现应当及时交回财政票据监管机构处理。</w:t>
      </w:r>
    </w:p>
    <w:p w14:paraId="4392E60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第八条 遗失捐赠票据，应及时在区县级以上新闻媒体上声明作废，并将遗失票据名称、数量、号段、遗失原因及媒体声明资料等有关情况，以书面形式报送同级财政部门备案。</w:t>
      </w:r>
    </w:p>
    <w:p w14:paraId="758EA3A1">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第九条 应当妥善保管已开具的捐赠票据存根，票据存根保存期限一般为5年。</w:t>
      </w:r>
    </w:p>
    <w:p w14:paraId="7C284D92">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第十条 对保存期满需要销毁的捐赠票据存根和未使用的需要作废销毁的捐赠票据，应登记造册，报经同级财政部门核准后，由同级财政部门组织销毁。</w:t>
      </w:r>
    </w:p>
    <w:p w14:paraId="3134E46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第十一条 基金会撤销、改组、合并，在办理《财政票据领购证》的变更或注销手续时，应对已使用的捐赠票据存根及尚未使用的捐赠票据登记造册，并交送同级财政部门统一核销、过户或销毁。</w:t>
      </w:r>
    </w:p>
    <w:p w14:paraId="552C3CAE">
      <w:pPr>
        <w:pStyle w:val="15"/>
        <w:shd w:val="clear" w:color="auto" w:fill="FFFFFF"/>
        <w:spacing w:before="156" w:beforeLines="50" w:beforeAutospacing="0" w:after="156" w:afterLines="50" w:afterAutospacing="0" w:line="480" w:lineRule="exact"/>
        <w:ind w:firstLine="480" w:firstLineChars="200"/>
        <w:jc w:val="center"/>
        <w:rPr>
          <w:rFonts w:ascii="宋体" w:hAnsi="宋体" w:eastAsia="宋体"/>
          <w:b/>
          <w:bCs/>
          <w:color w:val="000000" w:themeColor="text1"/>
          <w:sz w:val="24"/>
          <w:szCs w:val="24"/>
          <w14:textFill>
            <w14:solidFill>
              <w14:schemeClr w14:val="tx1"/>
            </w14:solidFill>
          </w14:textFill>
        </w:rPr>
      </w:pPr>
      <w:bookmarkStart w:id="209" w:name="_Toc1272091936_WPSOffice_Level1"/>
      <w:bookmarkStart w:id="210" w:name="_Toc549439269_WPSOffice_Level1"/>
      <w:r>
        <w:rPr>
          <w:rFonts w:hint="eastAsia" w:ascii="宋体" w:hAnsi="宋体" w:eastAsia="宋体"/>
          <w:b/>
          <w:bCs/>
          <w:color w:val="000000" w:themeColor="text1"/>
          <w:sz w:val="24"/>
          <w:szCs w:val="24"/>
          <w14:textFill>
            <w14:solidFill>
              <w14:schemeClr w14:val="tx1"/>
            </w14:solidFill>
          </w14:textFill>
        </w:rPr>
        <w:t>第四章 附则</w:t>
      </w:r>
      <w:bookmarkEnd w:id="209"/>
      <w:bookmarkEnd w:id="210"/>
    </w:p>
    <w:p w14:paraId="1D20CE8F">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第十二条 自觉接受财政部门的监督检查。</w:t>
      </w:r>
    </w:p>
    <w:p w14:paraId="0EA0F448">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第十三条 本制度未尽事宜或与有关规定不一致的，按有关规定执行。</w:t>
      </w:r>
    </w:p>
    <w:p w14:paraId="4FC827B3">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第十四条 本制度由理事会负责解释。</w:t>
      </w:r>
    </w:p>
    <w:p w14:paraId="4CA7EB0C">
      <w:pPr>
        <w:pStyle w:val="15"/>
        <w:shd w:val="clear" w:color="auto" w:fill="FFFFFF"/>
        <w:spacing w:before="156" w:beforeLines="50" w:beforeAutospacing="0" w:after="156" w:afterLines="50" w:afterAutospacing="0" w:line="48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第十五条 本制度自理事会审议通过后执行。</w:t>
      </w:r>
    </w:p>
    <w:p w14:paraId="60F11036">
      <w:pPr>
        <w:spacing w:before="156" w:beforeLines="50" w:after="156" w:afterLines="50" w:line="480" w:lineRule="exact"/>
        <w:ind w:firstLine="640" w:firstLineChars="200"/>
        <w:rPr>
          <w:rFonts w:ascii="宋体" w:hAnsi="宋体" w:eastAsia="宋体"/>
          <w:color w:val="000000" w:themeColor="text1"/>
          <w:sz w:val="32"/>
          <w:szCs w:val="32"/>
          <w14:textFill>
            <w14:solidFill>
              <w14:schemeClr w14:val="tx1"/>
            </w14:solidFill>
          </w14:textFill>
        </w:rPr>
      </w:pPr>
    </w:p>
    <w:p w14:paraId="1B07D431">
      <w:r>
        <w:br w:type="page"/>
      </w:r>
    </w:p>
    <w:p w14:paraId="166416D9">
      <w:pPr>
        <w:pStyle w:val="2"/>
      </w:pPr>
      <w:bookmarkStart w:id="211" w:name="_Toc246111983_WPSOffice_Level1"/>
      <w:bookmarkStart w:id="212" w:name="_Toc2021427509"/>
      <w:bookmarkStart w:id="213" w:name="_Toc447242746"/>
      <w:r>
        <w:t>北京中致儿童关爱</w:t>
      </w:r>
      <w:r>
        <w:rPr>
          <w:rFonts w:hint="eastAsia"/>
        </w:rPr>
        <w:t>基金会</w:t>
      </w:r>
      <w:bookmarkEnd w:id="211"/>
      <w:bookmarkEnd w:id="212"/>
      <w:bookmarkEnd w:id="213"/>
    </w:p>
    <w:p w14:paraId="18CD3B68">
      <w:pPr>
        <w:pStyle w:val="2"/>
      </w:pPr>
      <w:bookmarkStart w:id="214" w:name="_Toc350594159_WPSOffice_Level1"/>
      <w:bookmarkStart w:id="215" w:name="_Toc1237376191_WPSOffice_Level1"/>
      <w:bookmarkStart w:id="216" w:name="_Toc940848223"/>
      <w:bookmarkStart w:id="217" w:name="_Toc616067522"/>
      <w:r>
        <w:rPr>
          <w:rFonts w:hint="eastAsia"/>
        </w:rPr>
        <w:t>重大事项报告备案制度</w:t>
      </w:r>
      <w:bookmarkEnd w:id="214"/>
      <w:bookmarkEnd w:id="215"/>
      <w:bookmarkEnd w:id="216"/>
      <w:bookmarkEnd w:id="217"/>
    </w:p>
    <w:p w14:paraId="146CBD94">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218" w:name="_Toc350004589_WPSOffice_Level1"/>
      <w:bookmarkStart w:id="219" w:name="_Toc1888386592_WPSOffice_Level1"/>
      <w:r>
        <w:rPr>
          <w:rFonts w:hint="eastAsia" w:ascii="宋体" w:hAnsi="宋体" w:eastAsia="宋体" w:cs="Times New Roman"/>
          <w:b/>
          <w:bCs/>
          <w:color w:val="000000" w:themeColor="text1"/>
          <w:kern w:val="0"/>
          <w14:textFill>
            <w14:solidFill>
              <w14:schemeClr w14:val="tx1"/>
            </w14:solidFill>
          </w14:textFill>
        </w:rPr>
        <w:t>第一章 总则</w:t>
      </w:r>
      <w:bookmarkEnd w:id="218"/>
      <w:bookmarkEnd w:id="219"/>
    </w:p>
    <w:p w14:paraId="2AB1A47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第一条  为规范本基金会重大事项，落实有关重大事项报告备案规定，积极配合有关部门的动态管理，及时获取相关服务与指导，促进本基金会重大事项决策的科学化与规范化，根据《基金会管理条例》等规定和本基金会章程，结合实际，制定本制度。</w:t>
      </w:r>
    </w:p>
    <w:p w14:paraId="7BFF50EE">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220" w:name="_Toc569418190_WPSOffice_Level1"/>
      <w:bookmarkStart w:id="221" w:name="_Toc452632731_WPSOffice_Level1"/>
      <w:r>
        <w:rPr>
          <w:rFonts w:hint="eastAsia" w:ascii="宋体" w:hAnsi="宋体" w:eastAsia="宋体" w:cs="Times New Roman"/>
          <w:b/>
          <w:bCs/>
          <w:color w:val="000000" w:themeColor="text1"/>
          <w:kern w:val="0"/>
          <w14:textFill>
            <w14:solidFill>
              <w14:schemeClr w14:val="tx1"/>
            </w14:solidFill>
          </w14:textFill>
        </w:rPr>
        <w:t>第二章 重大事项</w:t>
      </w:r>
      <w:bookmarkEnd w:id="220"/>
      <w:bookmarkEnd w:id="221"/>
    </w:p>
    <w:p w14:paraId="0CD0A34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第二条  本制度所称重大事项是指：</w:t>
      </w:r>
    </w:p>
    <w:p w14:paraId="3B1505D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（一）召开理事会会议；</w:t>
      </w:r>
    </w:p>
    <w:p w14:paraId="308E705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（二）负责人变动，理事会成员、监事发生变化；</w:t>
      </w:r>
    </w:p>
    <w:p w14:paraId="63785B8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（三）基金会联合具有公开募捐的社会组织，面向社会进行公开募捐、义卖、义演、义展等筹集资金的活动；          </w:t>
      </w:r>
    </w:p>
    <w:p w14:paraId="1B5CEE9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（四）举办大型展览、展示、广告宣传、论坛及面向社会的讲座、培训班等； </w:t>
      </w:r>
    </w:p>
    <w:p w14:paraId="5738E8F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（五）重大的投资、建设、创办实体及重大公益项目；</w:t>
      </w:r>
    </w:p>
    <w:p w14:paraId="3D4D759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（六）涉外事项，包括：</w:t>
      </w:r>
    </w:p>
    <w:p w14:paraId="5FA3F37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1.吸收境外人士为理事、监事或担任名誉职务；</w:t>
      </w:r>
    </w:p>
    <w:p w14:paraId="2FC1355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2.与境外机构、组织合作或联合举办的活动；</w:t>
      </w:r>
    </w:p>
    <w:p w14:paraId="22281B2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3.接受境外机构、组织或境外人士捐赠；</w:t>
      </w:r>
    </w:p>
    <w:p w14:paraId="77A68B1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4.邀请境外机构、组织或境外人士参加的活动；</w:t>
      </w:r>
    </w:p>
    <w:p w14:paraId="4B3409F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5.以本基金会名义组织的境外学习、考察等。</w:t>
      </w:r>
    </w:p>
    <w:p w14:paraId="266E28C3">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（七）本基金会重大庆典纪念活动；</w:t>
      </w:r>
    </w:p>
    <w:p w14:paraId="6B1E7BE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（八）涉及重大政治、经济、理论等方面的跨组织、跨地区的学术活动以及较大影响的社会活动；</w:t>
      </w:r>
    </w:p>
    <w:p w14:paraId="0B836C0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（九）发生重大安全事故；</w:t>
      </w:r>
    </w:p>
    <w:p w14:paraId="4BD4748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（十）违法违规被查处；</w:t>
      </w:r>
    </w:p>
    <w:p w14:paraId="30864D8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（十一）造成重大社会影响的活动事项；</w:t>
      </w:r>
    </w:p>
    <w:p w14:paraId="2B593DF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（十二）应当向业务主管单位、登记管理机关报告的其他事项。</w:t>
      </w:r>
    </w:p>
    <w:p w14:paraId="19ABD5C0">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222" w:name="_Toc1024388298_WPSOffice_Level1"/>
      <w:bookmarkStart w:id="223" w:name="_Toc1011232243_WPSOffice_Level1"/>
      <w:r>
        <w:rPr>
          <w:rFonts w:hint="eastAsia" w:ascii="宋体" w:hAnsi="宋体" w:eastAsia="宋体" w:cs="Times New Roman"/>
          <w:b/>
          <w:bCs/>
          <w:color w:val="000000" w:themeColor="text1"/>
          <w:kern w:val="0"/>
          <w14:textFill>
            <w14:solidFill>
              <w14:schemeClr w14:val="tx1"/>
            </w14:solidFill>
          </w14:textFill>
        </w:rPr>
        <w:t>第三章 备案内容及程序</w:t>
      </w:r>
      <w:bookmarkEnd w:id="222"/>
      <w:bookmarkEnd w:id="223"/>
    </w:p>
    <w:p w14:paraId="7033DB1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第三条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报备内容</w:t>
      </w:r>
    </w:p>
    <w:p w14:paraId="106A333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（一）涉外事项：名称、宗旨、目的；主办单位、承办单位、协助单位；实施时间、地点、具体内容；涉及人员、资金规模等。</w:t>
      </w:r>
    </w:p>
    <w:p w14:paraId="553AAD4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（二）其他重大事：发生时间、地点、基本情况、计划措施等。</w:t>
      </w:r>
    </w:p>
    <w:p w14:paraId="471550E8">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第四条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报备程序</w:t>
      </w:r>
    </w:p>
    <w:p w14:paraId="17CDBA43">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（一）重大事项必须经理事会审议通过。</w:t>
      </w:r>
    </w:p>
    <w:p w14:paraId="4A6F57F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（二）举办涉外重大活动事项涉及行政审批的，需经行政主管部门批准。</w:t>
      </w:r>
    </w:p>
    <w:p w14:paraId="2C8F288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填写《基金会重大事报告备案表》一式三份，分别加盖基金会公章后，至少在实施事项前5个工作日（不可预见的情形除外），经业务主管单位初审同意后报送登记管理机关，经登记管理机关确认同意后，基金会方可实施事项。</w:t>
      </w:r>
    </w:p>
    <w:p w14:paraId="0B119B0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《基金会重大活动事项报告备案表》一份留存登记管理机关，一份留存业务主管单位，一份由基金会归档保存。</w:t>
      </w:r>
    </w:p>
    <w:p w14:paraId="3D7638C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（四）不可预见的重大事项，应及时按照上述手续、程序报告备案。</w:t>
      </w:r>
    </w:p>
    <w:p w14:paraId="7B6D428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（五）重大事项按照有关规定在登记管理机关指定的网站上公布，接受社会监督。</w:t>
      </w:r>
    </w:p>
    <w:p w14:paraId="299ED24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（六）重大活动事项结束后及时将书面总结分别报送业务主管单位和登记管理机关备案。</w:t>
      </w:r>
    </w:p>
    <w:p w14:paraId="4CF67491">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224" w:name="_Toc517726487_WPSOffice_Level1"/>
      <w:bookmarkStart w:id="225" w:name="_Toc594725743_WPSOffice_Level1"/>
      <w:r>
        <w:rPr>
          <w:rFonts w:hint="eastAsia" w:ascii="宋体" w:hAnsi="宋体" w:eastAsia="宋体" w:cs="Times New Roman"/>
          <w:b/>
          <w:bCs/>
          <w:color w:val="000000" w:themeColor="text1"/>
          <w:kern w:val="0"/>
          <w14:textFill>
            <w14:solidFill>
              <w14:schemeClr w14:val="tx1"/>
            </w14:solidFill>
          </w14:textFill>
        </w:rPr>
        <w:t>第四章 附则</w:t>
      </w:r>
      <w:bookmarkEnd w:id="224"/>
      <w:bookmarkEnd w:id="225"/>
    </w:p>
    <w:p w14:paraId="25E2B90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第五条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主动接受业务主管单位、登记管理机关的指导和监督。</w:t>
      </w:r>
    </w:p>
    <w:p w14:paraId="05E190B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第六条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本制度未尽事宜或与有关规定不一致的，按有关规定执行。</w:t>
      </w:r>
    </w:p>
    <w:p w14:paraId="3979C5C0">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第七条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本制度由理事会负责解释。</w:t>
      </w:r>
    </w:p>
    <w:p w14:paraId="0FA4279A">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第八条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w:t>
      </w:r>
      <w:r>
        <w:rPr>
          <w:rFonts w:ascii="宋体" w:hAnsi="宋体" w:eastAsia="宋体" w:cs="Times New Roman"/>
          <w:color w:val="000000" w:themeColor="text1"/>
          <w:kern w:val="0"/>
          <w14:textFill>
            <w14:solidFill>
              <w14:schemeClr w14:val="tx1"/>
            </w14:solidFill>
          </w14:textFill>
        </w:rPr>
        <w:t>自</w:t>
      </w:r>
      <w:r>
        <w:rPr>
          <w:rFonts w:hint="eastAsia" w:ascii="宋体" w:hAnsi="宋体" w:eastAsia="宋体" w:cs="Times New Roman"/>
          <w:color w:val="000000" w:themeColor="text1"/>
          <w:kern w:val="0"/>
          <w14:textFill>
            <w14:solidFill>
              <w14:schemeClr w14:val="tx1"/>
            </w14:solidFill>
          </w14:textFill>
        </w:rPr>
        <w:t>理事会审议通过后执行。</w:t>
      </w:r>
    </w:p>
    <w:p w14:paraId="278FF20C">
      <w:r>
        <w:br w:type="page"/>
      </w:r>
    </w:p>
    <w:p w14:paraId="58458B8D">
      <w:pPr>
        <w:pStyle w:val="2"/>
      </w:pPr>
      <w:bookmarkStart w:id="226" w:name="_Toc913991100"/>
      <w:bookmarkStart w:id="227" w:name="_Toc1166669463_WPSOffice_Level1"/>
      <w:bookmarkStart w:id="228" w:name="_Toc1228180067"/>
      <w:r>
        <w:t>北京中致儿童关爱</w:t>
      </w:r>
      <w:r>
        <w:rPr>
          <w:rFonts w:hint="eastAsia"/>
        </w:rPr>
        <w:t>基金会</w:t>
      </w:r>
      <w:bookmarkEnd w:id="226"/>
      <w:bookmarkEnd w:id="227"/>
      <w:bookmarkEnd w:id="228"/>
    </w:p>
    <w:p w14:paraId="7F078E37">
      <w:pPr>
        <w:pStyle w:val="2"/>
      </w:pPr>
      <w:bookmarkStart w:id="229" w:name="_Toc497890709"/>
      <w:bookmarkStart w:id="230" w:name="_Toc409571105"/>
      <w:bookmarkStart w:id="231" w:name="_Toc1687967531_WPSOffice_Level1"/>
      <w:r>
        <w:rPr>
          <w:rFonts w:hint="eastAsia"/>
        </w:rPr>
        <w:t>诚信自律准则</w:t>
      </w:r>
      <w:bookmarkEnd w:id="229"/>
      <w:bookmarkEnd w:id="230"/>
      <w:bookmarkEnd w:id="231"/>
    </w:p>
    <w:p w14:paraId="5FE7C6B2">
      <w:pPr>
        <w:spacing w:before="156" w:beforeLines="50" w:after="156" w:afterLines="50" w:line="480" w:lineRule="exact"/>
        <w:ind w:firstLine="480" w:firstLineChars="200"/>
        <w:jc w:val="left"/>
      </w:pPr>
      <w:r>
        <w:rPr>
          <w:rFonts w:hint="eastAsia"/>
        </w:rPr>
        <w:t>第一条  为加强本基金会诚信自律建设，提高本基金会公信力，推动本基金会健康有序发展，根据国家和北京市有关政策规定，结合本基金会章程和实际，制定本准则。</w:t>
      </w:r>
    </w:p>
    <w:p w14:paraId="59BE7819">
      <w:pPr>
        <w:spacing w:before="156" w:beforeLines="50" w:after="156" w:afterLines="50" w:line="480" w:lineRule="exact"/>
        <w:ind w:firstLine="480" w:firstLineChars="200"/>
        <w:jc w:val="left"/>
      </w:pPr>
      <w:r>
        <w:rPr>
          <w:rFonts w:hint="eastAsia"/>
        </w:rPr>
        <w:t>第二条</w:t>
      </w:r>
      <w:r>
        <w:t xml:space="preserve">  </w:t>
      </w:r>
      <w:r>
        <w:rPr>
          <w:rFonts w:hint="eastAsia"/>
        </w:rPr>
        <w:t>按照现代社会组织体制总体要求，围绕增强依法自治能力，建立健全以章程为核心的基金会现代法人治理结构。</w:t>
      </w:r>
    </w:p>
    <w:p w14:paraId="7B124453">
      <w:pPr>
        <w:spacing w:before="156" w:beforeLines="50" w:after="156" w:afterLines="50" w:line="480" w:lineRule="exact"/>
        <w:ind w:firstLine="480" w:firstLineChars="200"/>
        <w:jc w:val="left"/>
      </w:pPr>
      <w:r>
        <w:rPr>
          <w:rFonts w:hint="eastAsia"/>
        </w:rPr>
        <w:t>第三条  健全内部组织架构和高效运行机制，加强内部治理，强化自我管理、自我教育、自我规范。</w:t>
      </w:r>
    </w:p>
    <w:p w14:paraId="06D41DEA">
      <w:pPr>
        <w:spacing w:before="156" w:beforeLines="50" w:after="156" w:afterLines="50" w:line="480" w:lineRule="exact"/>
        <w:ind w:firstLine="480" w:firstLineChars="200"/>
        <w:jc w:val="left"/>
      </w:pPr>
      <w:r>
        <w:rPr>
          <w:rFonts w:hint="eastAsia"/>
        </w:rPr>
        <w:t>第四条  完善内部管理制度，定期梳理检查并适时优化内部管理制度，加大各项制度落实力度，认真开展自查自纠。</w:t>
      </w:r>
    </w:p>
    <w:p w14:paraId="128C53EE">
      <w:pPr>
        <w:spacing w:before="156" w:beforeLines="50" w:after="156" w:afterLines="50" w:line="480" w:lineRule="exact"/>
        <w:ind w:firstLine="480" w:firstLineChars="200"/>
        <w:jc w:val="left"/>
      </w:pPr>
      <w:r>
        <w:rPr>
          <w:rFonts w:hint="eastAsia"/>
        </w:rPr>
        <w:t>第五条  进一步加强基金会规范化建设，依法依规运作，恪守公益宗旨，不断增强服务能力。</w:t>
      </w:r>
    </w:p>
    <w:p w14:paraId="2C7C9499">
      <w:pPr>
        <w:spacing w:before="156" w:beforeLines="50" w:after="156" w:afterLines="50" w:line="480" w:lineRule="exact"/>
        <w:ind w:firstLine="480" w:firstLineChars="200"/>
        <w:jc w:val="left"/>
      </w:pPr>
      <w:r>
        <w:rPr>
          <w:rFonts w:hint="eastAsia"/>
        </w:rPr>
        <w:t>第六条  严格执行民主选举、民主决策、民主管理、民主监督制度。认真履行民主程序，根据议事内容，分别提交理事会、理事长研究决定并确保监事职责权利。</w:t>
      </w:r>
    </w:p>
    <w:p w14:paraId="425D81D5">
      <w:pPr>
        <w:spacing w:before="156" w:beforeLines="50" w:after="156" w:afterLines="50" w:line="480" w:lineRule="exact"/>
        <w:ind w:firstLine="480" w:firstLineChars="200"/>
        <w:jc w:val="left"/>
      </w:pPr>
      <w:r>
        <w:rPr>
          <w:rFonts w:hint="eastAsia"/>
        </w:rPr>
        <w:t>第七条  理事会、理事、监事认真履行相关职责，提升依法依章办事的能力和水平，确保基金会严格按照章程规定的宗旨和业务范围开展活动。</w:t>
      </w:r>
    </w:p>
    <w:p w14:paraId="184A9076">
      <w:pPr>
        <w:spacing w:before="156" w:beforeLines="50" w:after="156" w:afterLines="50" w:line="480" w:lineRule="exact"/>
        <w:ind w:firstLine="480" w:firstLineChars="200"/>
        <w:jc w:val="left"/>
      </w:pPr>
      <w:r>
        <w:rPr>
          <w:rFonts w:hint="eastAsia"/>
        </w:rPr>
        <w:t>第八条  实行诚信承诺制度，主动签署诚信承诺书向社会公开，强化责任落实，确保对社会承诺事项的兑现。</w:t>
      </w:r>
    </w:p>
    <w:p w14:paraId="7F94CEAA">
      <w:pPr>
        <w:spacing w:before="156" w:beforeLines="50" w:after="156" w:afterLines="50" w:line="480" w:lineRule="exact"/>
        <w:ind w:firstLine="480" w:firstLineChars="200"/>
        <w:jc w:val="left"/>
      </w:pPr>
      <w:r>
        <w:rPr>
          <w:rFonts w:hint="eastAsia"/>
        </w:rPr>
        <w:t>第九条  强化公益项目管理，做好公益资金筹集、管理、使用的全过程管控。</w:t>
      </w:r>
    </w:p>
    <w:p w14:paraId="0AC93AC2">
      <w:pPr>
        <w:spacing w:before="156" w:beforeLines="50" w:after="156" w:afterLines="50" w:line="480" w:lineRule="exact"/>
        <w:ind w:firstLine="480" w:firstLineChars="200"/>
        <w:jc w:val="left"/>
      </w:pPr>
      <w:r>
        <w:rPr>
          <w:rFonts w:hint="eastAsia"/>
        </w:rPr>
        <w:t>第十条  自觉接受年检审计、离任审计、换届审计、专项审计和抽查审计，加大对审计发现的问题的整改力度。</w:t>
      </w:r>
    </w:p>
    <w:p w14:paraId="64DFE6A3">
      <w:pPr>
        <w:spacing w:before="156" w:beforeLines="50" w:after="156" w:afterLines="50" w:line="480" w:lineRule="exact"/>
        <w:ind w:firstLine="480" w:firstLineChars="200"/>
        <w:jc w:val="left"/>
      </w:pPr>
      <w:r>
        <w:rPr>
          <w:rFonts w:hint="eastAsia"/>
        </w:rPr>
        <w:t>第十一条  积极推行基金会内部信用管理，建立内部诚信考核与评价制度，健全服务投诉信息管理、回馈和内部责任追究等制度。</w:t>
      </w:r>
    </w:p>
    <w:p w14:paraId="7C9FE3F6">
      <w:pPr>
        <w:spacing w:before="156" w:beforeLines="50" w:after="156" w:afterLines="50" w:line="480" w:lineRule="exact"/>
        <w:ind w:firstLine="480" w:firstLineChars="200"/>
        <w:jc w:val="left"/>
      </w:pPr>
      <w:r>
        <w:rPr>
          <w:rFonts w:hint="eastAsia"/>
        </w:rPr>
        <w:t>第十二条  加强诚信教育，强化诚信意识，增强法治观念、法治思维和依法办事能力，将诚信建设作为自觉追求和普遍行动。</w:t>
      </w:r>
    </w:p>
    <w:p w14:paraId="1CF95206">
      <w:pPr>
        <w:spacing w:before="156" w:beforeLines="50" w:after="156" w:afterLines="50" w:line="480" w:lineRule="exact"/>
        <w:ind w:firstLine="480" w:firstLineChars="200"/>
        <w:jc w:val="left"/>
      </w:pPr>
      <w:r>
        <w:rPr>
          <w:rFonts w:hint="eastAsia"/>
        </w:rPr>
        <w:t>第十三条  完善内部诚信激励措施和违规失信问责机制。</w:t>
      </w:r>
    </w:p>
    <w:p w14:paraId="23CC7B2F">
      <w:pPr>
        <w:spacing w:before="156" w:beforeLines="50" w:after="156" w:afterLines="50" w:line="480" w:lineRule="exact"/>
        <w:ind w:firstLine="480" w:firstLineChars="200"/>
        <w:jc w:val="left"/>
      </w:pPr>
      <w:r>
        <w:rPr>
          <w:rFonts w:hint="eastAsia"/>
        </w:rPr>
        <w:t>第十四条  认真履行法定信息公布义务，自觉接受社会监督。不断丰富信息公开内容，扩大信息公开范围，创新信息公开方式，进一步提升基金会运作的公开性和透明度。</w:t>
      </w:r>
    </w:p>
    <w:p w14:paraId="769E8D17">
      <w:pPr>
        <w:spacing w:before="156" w:beforeLines="50" w:after="156" w:afterLines="50" w:line="480" w:lineRule="exact"/>
        <w:ind w:firstLine="480" w:firstLineChars="200"/>
        <w:jc w:val="left"/>
      </w:pPr>
      <w:r>
        <w:rPr>
          <w:rFonts w:hint="eastAsia"/>
        </w:rPr>
        <w:t>第十五条  加强以“重信守诺，奉献社会”为重点的基金会诚信文化建设，树立诚信服务公众形象，弘扬基金会诚信自律新风尚。</w:t>
      </w:r>
    </w:p>
    <w:p w14:paraId="3B97B573">
      <w:pPr>
        <w:spacing w:before="156" w:beforeLines="50" w:after="156" w:afterLines="50" w:line="480" w:lineRule="exact"/>
        <w:ind w:firstLine="480" w:firstLineChars="200"/>
        <w:jc w:val="left"/>
      </w:pPr>
      <w:r>
        <w:rPr>
          <w:rFonts w:hint="eastAsia"/>
        </w:rPr>
        <w:t>第十六条  遵纪守法，诚信践诺，以自律苦练内功，以诚信外塑形象，不断夯实基础，提高自身能力和声望。</w:t>
      </w:r>
    </w:p>
    <w:p w14:paraId="4618CDA0">
      <w:pPr>
        <w:spacing w:before="156" w:beforeLines="50" w:after="156" w:afterLines="50" w:line="480" w:lineRule="exact"/>
        <w:ind w:firstLine="480" w:firstLineChars="200"/>
        <w:jc w:val="left"/>
      </w:pPr>
      <w:r>
        <w:rPr>
          <w:rFonts w:hint="eastAsia"/>
        </w:rPr>
        <w:t>第十七条  本准则未尽事宜与有关规定不一致的，按有关规定执行。</w:t>
      </w:r>
    </w:p>
    <w:p w14:paraId="40954C97">
      <w:pPr>
        <w:spacing w:before="156" w:beforeLines="50" w:after="156" w:afterLines="50" w:line="480" w:lineRule="exact"/>
        <w:ind w:firstLine="480" w:firstLineChars="200"/>
        <w:jc w:val="left"/>
      </w:pPr>
      <w:r>
        <w:rPr>
          <w:rFonts w:hint="eastAsia"/>
        </w:rPr>
        <w:t>第十八条 本准则由理事会负责解释。</w:t>
      </w:r>
    </w:p>
    <w:p w14:paraId="3AA8120D">
      <w:pPr>
        <w:spacing w:before="156" w:beforeLines="50" w:after="156" w:afterLines="50" w:line="480" w:lineRule="exact"/>
        <w:ind w:firstLine="480" w:firstLineChars="200"/>
        <w:jc w:val="left"/>
      </w:pPr>
      <w:r>
        <w:rPr>
          <w:rFonts w:hint="eastAsia"/>
        </w:rPr>
        <w:t>第十九条  本准则自理事会审议通过后执行。</w:t>
      </w:r>
    </w:p>
    <w:p w14:paraId="5CC9445A">
      <w:pPr>
        <w:spacing w:before="156" w:beforeLines="50" w:after="156" w:afterLines="50" w:line="480" w:lineRule="exact"/>
        <w:ind w:firstLine="480" w:firstLineChars="200"/>
        <w:jc w:val="left"/>
      </w:pPr>
    </w:p>
    <w:p w14:paraId="30502369">
      <w:pPr>
        <w:spacing w:before="156" w:beforeLines="50" w:after="156" w:afterLines="50" w:line="480" w:lineRule="exact"/>
        <w:ind w:firstLine="480" w:firstLineChars="200"/>
        <w:jc w:val="left"/>
      </w:pPr>
    </w:p>
    <w:p w14:paraId="0D6B5082">
      <w:r>
        <w:br w:type="page"/>
      </w:r>
    </w:p>
    <w:p w14:paraId="68FC4B23">
      <w:pPr>
        <w:pStyle w:val="2"/>
      </w:pPr>
      <w:bookmarkStart w:id="232" w:name="_Toc1452857451"/>
      <w:bookmarkStart w:id="233" w:name="_Toc1411316647_WPSOffice_Level1"/>
      <w:bookmarkStart w:id="234" w:name="_Toc976473100"/>
      <w:r>
        <w:rPr>
          <w:rFonts w:hint="eastAsia"/>
        </w:rPr>
        <w:t>北京中致儿童关爱基金会</w:t>
      </w:r>
      <w:bookmarkEnd w:id="232"/>
      <w:bookmarkEnd w:id="233"/>
      <w:bookmarkEnd w:id="234"/>
    </w:p>
    <w:p w14:paraId="31DB7B98">
      <w:pPr>
        <w:pStyle w:val="2"/>
      </w:pPr>
      <w:bookmarkStart w:id="235" w:name="_Toc1286112567"/>
      <w:bookmarkStart w:id="236" w:name="_Toc1042005014_WPSOffice_Level1"/>
      <w:bookmarkStart w:id="237" w:name="_Toc513361326"/>
      <w:r>
        <w:rPr>
          <w:rFonts w:hint="eastAsia"/>
        </w:rPr>
        <w:t>信息公开制度</w:t>
      </w:r>
      <w:bookmarkEnd w:id="235"/>
      <w:bookmarkEnd w:id="236"/>
      <w:bookmarkEnd w:id="237"/>
    </w:p>
    <w:p w14:paraId="4C21560D">
      <w:pPr>
        <w:rPr>
          <w:rFonts w:ascii="宋体" w:hAnsi="宋体" w:eastAsia="宋体"/>
        </w:rPr>
      </w:pPr>
    </w:p>
    <w:p w14:paraId="35EF16C7">
      <w:pPr>
        <w:pStyle w:val="38"/>
        <w:numPr>
          <w:ilvl w:val="0"/>
          <w:numId w:val="10"/>
        </w:numPr>
        <w:rPr>
          <w:rFonts w:ascii="Songti SC Regular" w:hAnsi="Songti SC Regular" w:eastAsia="Songti SC Regular" w:cs="Songti SC Regular"/>
        </w:rPr>
      </w:pPr>
      <w:r>
        <w:rPr>
          <w:rFonts w:hint="eastAsia" w:ascii="Songti SC Regular" w:hAnsi="Songti SC Regular" w:eastAsia="Songti SC Regular" w:cs="Songti SC Regular"/>
        </w:rPr>
        <w:t>信息公开的目的：</w:t>
      </w:r>
    </w:p>
    <w:p w14:paraId="304992E8">
      <w:pPr>
        <w:pStyle w:val="38"/>
        <w:ind w:left="780"/>
        <w:rPr>
          <w:rFonts w:ascii="Songti SC Regular" w:hAnsi="Songti SC Regular" w:eastAsia="Songti SC Regular" w:cs="Songti SC Regular"/>
        </w:rPr>
      </w:pPr>
      <w:r>
        <w:rPr>
          <w:rFonts w:hint="eastAsia" w:ascii="Songti SC Regular" w:hAnsi="Songti SC Regular" w:eastAsia="Songti SC Regular" w:cs="Songti SC Regular"/>
        </w:rPr>
        <w:t>为了进一步做好北京中致儿童关爱基金会（以下简称“基金会”）的信息公开工作， 提高基金会工作的透明度，规范基金会的管理，维护捐赠人和受益人的合法权益，促进基金会的健康发展，现根据《慈善法》、《基金会管理条例》、《慈善组织信息公开办法》等相关法律法规，制定本制度，基金会依法履行信息公开义务。</w:t>
      </w:r>
    </w:p>
    <w:p w14:paraId="1195941E">
      <w:pPr>
        <w:rPr>
          <w:rFonts w:ascii="Songti SC Regular" w:hAnsi="Songti SC Regular" w:eastAsia="Songti SC Regular" w:cs="Songti SC Regular"/>
        </w:rPr>
      </w:pPr>
    </w:p>
    <w:p w14:paraId="32600177">
      <w:pPr>
        <w:pStyle w:val="38"/>
        <w:numPr>
          <w:ilvl w:val="0"/>
          <w:numId w:val="10"/>
        </w:numPr>
        <w:rPr>
          <w:rFonts w:ascii="Songti SC Regular" w:hAnsi="Songti SC Regular" w:eastAsia="Songti SC Regular" w:cs="Songti SC Regular"/>
        </w:rPr>
      </w:pPr>
      <w:r>
        <w:rPr>
          <w:rFonts w:hint="eastAsia" w:ascii="Songti SC Regular" w:hAnsi="Songti SC Regular" w:eastAsia="Songti SC Regular" w:cs="Songti SC Regular"/>
        </w:rPr>
        <w:t>信息公开的原则：</w:t>
      </w:r>
    </w:p>
    <w:p w14:paraId="2824FF69">
      <w:pPr>
        <w:pStyle w:val="38"/>
        <w:ind w:left="780"/>
        <w:rPr>
          <w:rFonts w:ascii="Songti SC Regular" w:hAnsi="Songti SC Regular" w:eastAsia="Songti SC Regular" w:cs="Songti SC Regular"/>
        </w:rPr>
      </w:pPr>
      <w:r>
        <w:rPr>
          <w:rFonts w:hint="eastAsia" w:ascii="Songti SC Regular" w:hAnsi="Songti SC Regular" w:eastAsia="Songti SC Regular" w:cs="Songti SC Regular"/>
        </w:rPr>
        <w:t>基金会的信息公开应当真实、完整、及时，不得有虚假记载、误导性陈述或者重大遗漏。</w:t>
      </w:r>
    </w:p>
    <w:p w14:paraId="2E671612">
      <w:pPr>
        <w:rPr>
          <w:rFonts w:ascii="Songti SC Regular" w:hAnsi="Songti SC Regular" w:eastAsia="Songti SC Regular" w:cs="Songti SC Regular"/>
        </w:rPr>
      </w:pPr>
    </w:p>
    <w:p w14:paraId="43C6697C">
      <w:pPr>
        <w:pStyle w:val="38"/>
        <w:numPr>
          <w:ilvl w:val="0"/>
          <w:numId w:val="10"/>
        </w:numPr>
        <w:rPr>
          <w:rFonts w:ascii="Songti SC Regular" w:hAnsi="Songti SC Regular" w:eastAsia="Songti SC Regular" w:cs="Songti SC Regular"/>
        </w:rPr>
      </w:pPr>
      <w:r>
        <w:rPr>
          <w:rFonts w:hint="eastAsia" w:ascii="Songti SC Regular" w:hAnsi="Songti SC Regular" w:eastAsia="Songti SC Regular" w:cs="Songti SC Regular"/>
        </w:rPr>
        <w:t>信息公开的要求：</w:t>
      </w:r>
    </w:p>
    <w:p w14:paraId="2DC995B0">
      <w:pPr>
        <w:pStyle w:val="38"/>
        <w:ind w:left="780"/>
        <w:rPr>
          <w:rFonts w:ascii="Songti SC Regular" w:hAnsi="Songti SC Regular" w:eastAsia="Songti SC Regular" w:cs="Songti SC Regular"/>
        </w:rPr>
      </w:pPr>
      <w:r>
        <w:rPr>
          <w:rFonts w:hint="eastAsia" w:ascii="Songti SC Regular" w:hAnsi="Songti SC Regular" w:eastAsia="Songti SC Regular" w:cs="Songti SC Regular"/>
        </w:rPr>
        <w:t>基金会应当自下列基本信息形成之日起30日内，在民政部门统一的信息平台向社会公开。基本信息中属于慈善组织登记事项的，由民政部门予以公开。</w:t>
      </w:r>
    </w:p>
    <w:p w14:paraId="29803A09">
      <w:pPr>
        <w:rPr>
          <w:rFonts w:ascii="Songti SC Regular" w:hAnsi="Songti SC Regular" w:eastAsia="Songti SC Regular" w:cs="Songti SC Regular"/>
        </w:rPr>
      </w:pPr>
    </w:p>
    <w:p w14:paraId="373F2E7B">
      <w:pPr>
        <w:rPr>
          <w:rFonts w:ascii="Songti SC Regular" w:hAnsi="Songti SC Regular" w:eastAsia="Songti SC Regular" w:cs="Songti SC Regular"/>
        </w:rPr>
      </w:pPr>
      <w:r>
        <w:rPr>
          <w:rFonts w:hint="eastAsia" w:ascii="Songti SC Regular" w:hAnsi="Songti SC Regular" w:eastAsia="Songti SC Regular" w:cs="Songti SC Regular"/>
        </w:rPr>
        <w:t xml:space="preserve">第四条 信息公开的内容： </w:t>
      </w:r>
    </w:p>
    <w:p w14:paraId="0DE6FBE7">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经民政部门核准的基金会章程；</w:t>
      </w:r>
    </w:p>
    <w:p w14:paraId="715A90E0">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基金会的年度工作报告和财务会计报告；</w:t>
      </w:r>
    </w:p>
    <w:p w14:paraId="3A74D7EA">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基金会决策、执行、监督机构的成员信息；</w:t>
      </w:r>
    </w:p>
    <w:p w14:paraId="2F8BED46">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基金会的发起人、主要捐赠人等重要关联方的信息；</w:t>
      </w:r>
    </w:p>
    <w:p w14:paraId="261A51ED">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下设部门、专项基金的名称、设立时间、业务范围等信息；</w:t>
      </w:r>
    </w:p>
    <w:p w14:paraId="5AC5AD1D">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基金会的联系人、联系方式、官方网站、微博、微信等网络平台；</w:t>
      </w:r>
    </w:p>
    <w:p w14:paraId="6C8F1E54">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基金会的信息公开制度、项目管理制度、财务管理制度等；</w:t>
      </w:r>
    </w:p>
    <w:p w14:paraId="498B72D4">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基金会设立项目时，应当公开该项目的名称、内容以及起止时间；</w:t>
      </w:r>
    </w:p>
    <w:p w14:paraId="05C101AA">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基金会开展的定向募捐，应当及时向捐赠人告知募捐情况、捐赠款物管理使用情况；</w:t>
      </w:r>
    </w:p>
    <w:p w14:paraId="586997A5">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基金会通过与有公开募捐资格的基金会合作，在互联网上开展公开募捐的，应当按照有关规定发布募捐信息，并至少每三个月公开一次募得款物情况、支出、用途情况等；</w:t>
      </w:r>
    </w:p>
    <w:p w14:paraId="65EB7A51">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基金会不得公开捐赠人、志愿者、受益人不同意公开的信息，不得泄露国家秘密和商业秘密；</w:t>
      </w:r>
    </w:p>
    <w:p w14:paraId="15C06C6A">
      <w:pPr>
        <w:pStyle w:val="38"/>
        <w:numPr>
          <w:ilvl w:val="0"/>
          <w:numId w:val="11"/>
        </w:numPr>
        <w:rPr>
          <w:rFonts w:ascii="Songti SC Regular" w:hAnsi="Songti SC Regular" w:eastAsia="Songti SC Regular" w:cs="Songti SC Regular"/>
        </w:rPr>
      </w:pPr>
      <w:r>
        <w:rPr>
          <w:rFonts w:hint="eastAsia" w:ascii="Songti SC Regular" w:hAnsi="Songti SC Regular" w:eastAsia="Songti SC Regular" w:cs="Songti SC Regular"/>
        </w:rPr>
        <w:t>当上述信息发生重大变更时</w:t>
      </w:r>
      <w:r>
        <w:rPr>
          <w:rFonts w:hint="eastAsia" w:ascii="Songti SC Regular" w:hAnsi="Songti SC Regular" w:eastAsia="Songti SC Regular" w:cs="Songti SC Regular"/>
          <w:color w:val="303030"/>
        </w:rPr>
        <w:t>，依照法律法规的旅行公开履行信息</w:t>
      </w:r>
      <w:r>
        <w:rPr>
          <w:rFonts w:hint="eastAsia" w:ascii="Songti SC Regular" w:hAnsi="Songti SC Regular" w:eastAsia="Songti SC Regular" w:cs="Songti SC Regular"/>
        </w:rPr>
        <w:t>公开义务。</w:t>
      </w:r>
    </w:p>
    <w:p w14:paraId="120BE312">
      <w:pPr>
        <w:rPr>
          <w:rFonts w:ascii="Songti SC Regular" w:hAnsi="Songti SC Regular" w:eastAsia="Songti SC Regular" w:cs="Songti SC Regular"/>
        </w:rPr>
      </w:pPr>
    </w:p>
    <w:p w14:paraId="6D12E4BB">
      <w:pPr>
        <w:pStyle w:val="38"/>
        <w:numPr>
          <w:ilvl w:val="0"/>
          <w:numId w:val="12"/>
        </w:numPr>
        <w:rPr>
          <w:rFonts w:ascii="Songti SC Regular" w:hAnsi="Songti SC Regular" w:eastAsia="Songti SC Regular" w:cs="Songti SC Regular"/>
        </w:rPr>
      </w:pPr>
      <w:r>
        <w:rPr>
          <w:rFonts w:hint="eastAsia" w:ascii="Songti SC Regular" w:hAnsi="Songti SC Regular" w:eastAsia="Songti SC Regular" w:cs="Songti SC Regular"/>
        </w:rPr>
        <w:t xml:space="preserve"> 信息公开的途径：</w:t>
      </w:r>
    </w:p>
    <w:p w14:paraId="08DDC6CF">
      <w:pPr>
        <w:pStyle w:val="38"/>
        <w:numPr>
          <w:ilvl w:val="0"/>
          <w:numId w:val="13"/>
        </w:numPr>
        <w:rPr>
          <w:rFonts w:ascii="Songti SC Regular" w:hAnsi="Songti SC Regular" w:eastAsia="Songti SC Regular" w:cs="Songti SC Regular"/>
        </w:rPr>
      </w:pPr>
      <w:r>
        <w:rPr>
          <w:rFonts w:hint="eastAsia" w:ascii="Songti SC Regular" w:hAnsi="Songti SC Regular" w:eastAsia="Songti SC Regular" w:cs="Songti SC Regular"/>
        </w:rPr>
        <w:t>基金会官方网站（</w:t>
      </w:r>
      <w:r>
        <w:fldChar w:fldCharType="begin"/>
      </w:r>
      <w:r>
        <w:instrText xml:space="preserve"> HYPERLINK "http://zhongzhiertongguanai.org" </w:instrText>
      </w:r>
      <w:r>
        <w:fldChar w:fldCharType="separate"/>
      </w:r>
      <w:r>
        <w:rPr>
          <w:rFonts w:hint="eastAsia" w:ascii="Songti SC Regular" w:hAnsi="Songti SC Regular" w:eastAsia="Songti SC Regular" w:cs="Songti SC Regular"/>
        </w:rPr>
        <w:t>http://www.zhongzhiertongguanai.org</w:t>
      </w:r>
      <w:r>
        <w:rPr>
          <w:rFonts w:hint="eastAsia" w:ascii="Songti SC Regular" w:hAnsi="Songti SC Regular" w:eastAsia="Songti SC Regular" w:cs="Songti SC Regular"/>
        </w:rPr>
        <w:fldChar w:fldCharType="end"/>
      </w:r>
      <w:r>
        <w:rPr>
          <w:rFonts w:hint="eastAsia" w:ascii="Songti SC Regular" w:hAnsi="Songti SC Regular" w:eastAsia="Songti SC Regular" w:cs="Songti SC Regular"/>
        </w:rPr>
        <w:t>）</w:t>
      </w:r>
    </w:p>
    <w:p w14:paraId="3F20A3D4">
      <w:pPr>
        <w:pStyle w:val="38"/>
        <w:numPr>
          <w:ilvl w:val="0"/>
          <w:numId w:val="13"/>
        </w:numPr>
        <w:rPr>
          <w:rFonts w:ascii="Songti SC Regular" w:hAnsi="Songti SC Regular" w:eastAsia="Songti SC Regular" w:cs="Songti SC Regular"/>
        </w:rPr>
      </w:pPr>
      <w:r>
        <w:rPr>
          <w:rFonts w:hint="eastAsia" w:ascii="Songti SC Regular" w:hAnsi="Songti SC Regular" w:eastAsia="Songti SC Regular" w:cs="Songti SC Regular"/>
        </w:rPr>
        <w:t>全国慈善信息公开平台——慈善中国网站（</w:t>
      </w:r>
      <w:r>
        <w:fldChar w:fldCharType="begin"/>
      </w:r>
      <w:r>
        <w:instrText xml:space="preserve"> HYPERLINK "http://cishan.chinanpo.gov.cn/platform/login.html" </w:instrText>
      </w:r>
      <w:r>
        <w:fldChar w:fldCharType="separate"/>
      </w:r>
      <w:r>
        <w:rPr>
          <w:rFonts w:hint="eastAsia" w:ascii="Songti SC Regular" w:hAnsi="Songti SC Regular" w:eastAsia="Songti SC Regular" w:cs="Songti SC Regular"/>
        </w:rPr>
        <w:t>http://cishan.chinanpo.gov.cn/platform/login.html</w:t>
      </w:r>
      <w:r>
        <w:rPr>
          <w:rFonts w:hint="eastAsia" w:ascii="Songti SC Regular" w:hAnsi="Songti SC Regular" w:eastAsia="Songti SC Regular" w:cs="Songti SC Regular"/>
        </w:rPr>
        <w:fldChar w:fldCharType="end"/>
      </w:r>
      <w:r>
        <w:rPr>
          <w:rFonts w:hint="eastAsia" w:ascii="Songti SC Regular" w:hAnsi="Songti SC Regular" w:eastAsia="Songti SC Regular" w:cs="Songti SC Regular"/>
        </w:rPr>
        <w:t>）</w:t>
      </w:r>
    </w:p>
    <w:p w14:paraId="6239D16F">
      <w:pPr>
        <w:rPr>
          <w:rFonts w:ascii="Songti SC Regular" w:hAnsi="Songti SC Regular" w:eastAsia="Songti SC Regular" w:cs="Songti SC Regular"/>
        </w:rPr>
      </w:pPr>
    </w:p>
    <w:p w14:paraId="5F246BDC">
      <w:pPr>
        <w:pStyle w:val="38"/>
        <w:numPr>
          <w:ilvl w:val="0"/>
          <w:numId w:val="12"/>
        </w:numPr>
        <w:rPr>
          <w:rFonts w:ascii="Songti SC Regular" w:hAnsi="Songti SC Regular" w:eastAsia="Songti SC Regular" w:cs="Songti SC Regular"/>
        </w:rPr>
      </w:pPr>
      <w:r>
        <w:rPr>
          <w:rFonts w:hint="eastAsia" w:ascii="Songti SC Regular" w:hAnsi="Songti SC Regular" w:eastAsia="Songti SC Regular" w:cs="Songti SC Regular"/>
        </w:rPr>
        <w:t xml:space="preserve"> 信息的更正：</w:t>
      </w:r>
    </w:p>
    <w:p w14:paraId="134ABD47">
      <w:pPr>
        <w:pStyle w:val="38"/>
        <w:rPr>
          <w:rFonts w:ascii="Songti SC Regular" w:hAnsi="Songti SC Regular" w:eastAsia="Songti SC Regular" w:cs="Songti SC Regular"/>
        </w:rPr>
      </w:pPr>
      <w:r>
        <w:rPr>
          <w:rFonts w:hint="eastAsia" w:ascii="Songti SC Regular" w:hAnsi="Songti SC Regular" w:eastAsia="Songti SC Regular" w:cs="Songti SC Regular"/>
        </w:rPr>
        <w:t>基金会发现已公开的信息有误或存在遗漏时，应当及时发布公告澄清情况。</w:t>
      </w:r>
    </w:p>
    <w:p w14:paraId="354C04EA">
      <w:pPr>
        <w:rPr>
          <w:rFonts w:ascii="Songti SC Regular" w:hAnsi="Songti SC Regular" w:eastAsia="Songti SC Regular" w:cs="Songti SC Regular"/>
        </w:rPr>
      </w:pPr>
    </w:p>
    <w:p w14:paraId="406560B8">
      <w:pPr>
        <w:pStyle w:val="38"/>
        <w:numPr>
          <w:ilvl w:val="0"/>
          <w:numId w:val="12"/>
        </w:numPr>
        <w:rPr>
          <w:rFonts w:ascii="Songti SC Regular" w:hAnsi="Songti SC Regular" w:eastAsia="Songti SC Regular" w:cs="Songti SC Regular"/>
        </w:rPr>
      </w:pPr>
      <w:r>
        <w:rPr>
          <w:rFonts w:hint="eastAsia" w:ascii="Songti SC Regular" w:hAnsi="Songti SC Regular" w:eastAsia="Songti SC Regular" w:cs="Songti SC Regular"/>
        </w:rPr>
        <w:t xml:space="preserve"> 信息的查询：</w:t>
      </w:r>
    </w:p>
    <w:p w14:paraId="0C3C5946">
      <w:pPr>
        <w:pStyle w:val="38"/>
        <w:rPr>
          <w:rFonts w:ascii="Songti SC Regular" w:hAnsi="Songti SC Regular" w:eastAsia="Songti SC Regular" w:cs="Songti SC Regular"/>
        </w:rPr>
      </w:pPr>
      <w:r>
        <w:rPr>
          <w:rFonts w:hint="eastAsia" w:ascii="Songti SC Regular" w:hAnsi="Songti SC Regular" w:eastAsia="Songti SC Regular" w:cs="Songti SC Regular"/>
        </w:rPr>
        <w:t>除捐赠人、受益人表示不同意公开的信息及为保护未成年人隐私不得公开的信息外，基金会对公民、法人或其他组织希望查询捐助信息的请求，接受查询并及时给予答复。</w:t>
      </w:r>
    </w:p>
    <w:p w14:paraId="02399186">
      <w:pPr>
        <w:rPr>
          <w:rFonts w:ascii="Songti SC Regular" w:hAnsi="Songti SC Regular" w:eastAsia="Songti SC Regular" w:cs="Songti SC Regular"/>
        </w:rPr>
      </w:pPr>
    </w:p>
    <w:p w14:paraId="759072E8">
      <w:pPr>
        <w:rPr>
          <w:rFonts w:ascii="Songti SC Regular" w:hAnsi="Songti SC Regular" w:eastAsia="Songti SC Regular" w:cs="Songti SC Regular"/>
        </w:rPr>
      </w:pPr>
      <w:r>
        <w:rPr>
          <w:rFonts w:hint="eastAsia" w:ascii="Songti SC Regular" w:hAnsi="Songti SC Regular" w:eastAsia="Songti SC Regular" w:cs="Songti SC Regular"/>
        </w:rPr>
        <w:t>第八条 本制度与有关法律、法规有冲突时，依照法律、法规规定执行。</w:t>
      </w:r>
    </w:p>
    <w:p w14:paraId="41951516">
      <w:pPr>
        <w:rPr>
          <w:rFonts w:ascii="Songti SC Regular" w:hAnsi="Songti SC Regular" w:eastAsia="Songti SC Regular" w:cs="Songti SC Regular"/>
        </w:rPr>
      </w:pPr>
    </w:p>
    <w:p w14:paraId="0F56BFA4">
      <w:pPr>
        <w:numPr>
          <w:ilvl w:val="0"/>
          <w:numId w:val="14"/>
        </w:numPr>
        <w:rPr>
          <w:rFonts w:ascii="Songti SC Regular" w:hAnsi="Songti SC Regular" w:eastAsia="Songti SC Regular" w:cs="Songti SC Regular"/>
        </w:rPr>
      </w:pPr>
      <w:r>
        <w:rPr>
          <w:rFonts w:hint="eastAsia" w:ascii="Songti SC Regular" w:hAnsi="Songti SC Regular" w:eastAsia="Songti SC Regular" w:cs="Songti SC Regular"/>
        </w:rPr>
        <w:t>本制度的解释权属于基金会。</w:t>
      </w:r>
    </w:p>
    <w:p w14:paraId="0E02B778">
      <w:pPr>
        <w:rPr>
          <w:rFonts w:ascii="Songti SC Regular" w:hAnsi="Songti SC Regular" w:eastAsia="Songti SC Regular" w:cs="Songti SC Regular"/>
        </w:rPr>
      </w:pPr>
    </w:p>
    <w:p w14:paraId="1945359C">
      <w:pPr>
        <w:rPr>
          <w:rFonts w:ascii="宋体" w:hAnsi="宋体" w:eastAsia="宋体" w:cs="Songti SC Regular"/>
        </w:rPr>
      </w:pPr>
      <w:r>
        <w:rPr>
          <w:rFonts w:hint="eastAsia" w:ascii="Songti SC Regular" w:hAnsi="Songti SC Regular" w:eastAsia="Songti SC Regular" w:cs="Songti SC Regular"/>
        </w:rPr>
        <w:t>第十条 本制度于理事会表决通过后执行。</w:t>
      </w:r>
    </w:p>
    <w:p w14:paraId="0F26724C">
      <w:pPr>
        <w:rPr>
          <w:rFonts w:ascii="宋体" w:hAnsi="宋体" w:eastAsia="宋体" w:cs="Songti SC Regular"/>
        </w:rPr>
      </w:pPr>
    </w:p>
    <w:p w14:paraId="50FB922B">
      <w:pPr>
        <w:rPr>
          <w:rFonts w:ascii="宋体" w:hAnsi="宋体" w:eastAsia="宋体" w:cs="Songti SC Regular"/>
        </w:rPr>
      </w:pPr>
    </w:p>
    <w:p w14:paraId="5E235D2D">
      <w:r>
        <w:br w:type="page"/>
      </w:r>
    </w:p>
    <w:p w14:paraId="0DBA7439">
      <w:pPr>
        <w:pStyle w:val="2"/>
      </w:pPr>
      <w:bookmarkStart w:id="238" w:name="_Toc249129013_WPSOffice_Level1"/>
      <w:bookmarkStart w:id="239" w:name="_Toc1271006514"/>
      <w:bookmarkStart w:id="240" w:name="_Toc1621996083"/>
      <w:r>
        <w:t>北京中致儿童关爱</w:t>
      </w:r>
      <w:r>
        <w:rPr>
          <w:rFonts w:hint="eastAsia"/>
        </w:rPr>
        <w:t>基金会</w:t>
      </w:r>
      <w:bookmarkEnd w:id="238"/>
      <w:bookmarkEnd w:id="239"/>
      <w:bookmarkEnd w:id="240"/>
    </w:p>
    <w:p w14:paraId="45095F43">
      <w:pPr>
        <w:pStyle w:val="2"/>
      </w:pPr>
      <w:bookmarkStart w:id="241" w:name="_Toc730751963"/>
      <w:bookmarkStart w:id="242" w:name="_Toc786644089"/>
      <w:bookmarkStart w:id="243" w:name="_Toc1665693488_WPSOffice_Level1"/>
      <w:r>
        <w:rPr>
          <w:rFonts w:hint="eastAsia"/>
        </w:rPr>
        <w:t>档案管理制度</w:t>
      </w:r>
      <w:bookmarkEnd w:id="241"/>
      <w:bookmarkEnd w:id="242"/>
      <w:bookmarkEnd w:id="243"/>
    </w:p>
    <w:p w14:paraId="13985BCB">
      <w:pPr>
        <w:pStyle w:val="15"/>
        <w:shd w:val="clear" w:color="auto" w:fill="FFFFFF"/>
        <w:spacing w:before="156" w:beforeLines="50" w:beforeAutospacing="0" w:after="156" w:afterLines="50" w:afterAutospacing="0" w:line="480" w:lineRule="exact"/>
        <w:jc w:val="center"/>
        <w:rPr>
          <w:rFonts w:ascii="宋体" w:hAnsi="宋体" w:eastAsia="宋体" w:cstheme="minorBidi"/>
          <w:kern w:val="2"/>
          <w:sz w:val="24"/>
          <w:szCs w:val="24"/>
        </w:rPr>
      </w:pPr>
      <w:bookmarkStart w:id="244" w:name="_Toc713630524_WPSOffice_Level1"/>
      <w:r>
        <w:rPr>
          <w:rFonts w:hint="eastAsia" w:ascii="宋体" w:hAnsi="宋体" w:eastAsia="宋体" w:cstheme="minorBidi"/>
          <w:b/>
          <w:bCs/>
          <w:kern w:val="2"/>
          <w:sz w:val="24"/>
          <w:szCs w:val="24"/>
        </w:rPr>
        <w:t>第一章  总 则</w:t>
      </w:r>
      <w:bookmarkEnd w:id="244"/>
    </w:p>
    <w:p w14:paraId="5706350A">
      <w:pPr>
        <w:pStyle w:val="15"/>
        <w:shd w:val="clear" w:color="auto" w:fill="FFFFFF"/>
        <w:spacing w:before="156" w:beforeLines="50" w:beforeAutospacing="0" w:after="156" w:afterLines="50" w:afterAutospacing="0" w:line="480" w:lineRule="exact"/>
        <w:rPr>
          <w:rFonts w:ascii="宋体" w:hAnsi="宋体" w:eastAsia="宋体" w:cstheme="minorBidi"/>
          <w:kern w:val="2"/>
          <w:sz w:val="24"/>
          <w:szCs w:val="24"/>
        </w:rPr>
      </w:pPr>
      <w:r>
        <w:rPr>
          <w:rFonts w:ascii="宋体" w:hAnsi="宋体" w:eastAsia="宋体" w:cstheme="minorBidi"/>
          <w:kern w:val="2"/>
          <w:sz w:val="24"/>
          <w:szCs w:val="24"/>
        </w:rPr>
        <w:t xml:space="preserve">    </w:t>
      </w:r>
      <w:r>
        <w:rPr>
          <w:rFonts w:hint="eastAsia" w:ascii="宋体" w:hAnsi="宋体" w:eastAsia="宋体" w:cstheme="minorBidi"/>
          <w:kern w:val="2"/>
          <w:sz w:val="24"/>
          <w:szCs w:val="24"/>
        </w:rPr>
        <w:t>第一条 为加强本基金会档案管理，促进档案管理规范化、标准化，根据《中华人民共和国档案法》《中华人民共和国档案法实施办法》（国家档案局第１号令），参照《民政部、国家档案局关于印发&lt;社会组织登记档案管理办法&gt;的通知》(民发〔2010〕101号)等规定和本基金会章程，结合实际，制定本制度。</w:t>
      </w:r>
    </w:p>
    <w:p w14:paraId="242DA69D">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第二条</w:t>
      </w:r>
      <w:r>
        <w:rPr>
          <w:rFonts w:ascii="宋体" w:hAnsi="宋体" w:eastAsia="宋体" w:cstheme="minorBidi"/>
          <w:kern w:val="2"/>
          <w:sz w:val="24"/>
          <w:szCs w:val="24"/>
        </w:rPr>
        <w:t xml:space="preserve"> </w:t>
      </w:r>
      <w:r>
        <w:rPr>
          <w:rFonts w:hint="eastAsia" w:ascii="宋体" w:hAnsi="宋体" w:eastAsia="宋体" w:cstheme="minorBidi"/>
          <w:kern w:val="2"/>
          <w:sz w:val="24"/>
          <w:szCs w:val="24"/>
        </w:rPr>
        <w:t xml:space="preserve"> 档案工作坚持统一管理、分工负责的原则，本基金派</w:t>
      </w:r>
      <w:r>
        <w:rPr>
          <w:rFonts w:ascii="宋体" w:hAnsi="宋体" w:eastAsia="宋体" w:cstheme="minorBidi"/>
          <w:kern w:val="2"/>
          <w:sz w:val="24"/>
          <w:szCs w:val="24"/>
        </w:rPr>
        <w:t>专人</w:t>
      </w:r>
      <w:r>
        <w:rPr>
          <w:rFonts w:hint="eastAsia" w:ascii="宋体" w:hAnsi="宋体" w:eastAsia="宋体" w:cstheme="minorBidi"/>
          <w:kern w:val="2"/>
          <w:sz w:val="24"/>
          <w:szCs w:val="24"/>
        </w:rPr>
        <w:t>负责基金会档案的统一管理，各相关部门负责各自业务工作中形成的文件材料的收集、整理、归档，并支持、配合做好档案管理工作。</w:t>
      </w:r>
    </w:p>
    <w:p w14:paraId="065D90AF">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第三条 档案管理人员负责接收档案资料，并做好档案资料的立卷、归档、保管、查阅和销毁等具体管理工作，确保档案资料妥善保管、有序存放、方便查阅。</w:t>
      </w:r>
    </w:p>
    <w:p w14:paraId="4E842D2A">
      <w:pPr>
        <w:pStyle w:val="15"/>
        <w:shd w:val="clear" w:color="auto" w:fill="FFFFFF"/>
        <w:spacing w:before="156" w:beforeLines="50" w:beforeAutospacing="0" w:after="156" w:afterLines="50" w:afterAutospacing="0" w:line="480" w:lineRule="exact"/>
        <w:jc w:val="center"/>
        <w:rPr>
          <w:rFonts w:ascii="宋体" w:hAnsi="宋体" w:eastAsia="宋体" w:cstheme="minorBidi"/>
          <w:b/>
          <w:bCs/>
          <w:kern w:val="2"/>
          <w:sz w:val="24"/>
          <w:szCs w:val="24"/>
        </w:rPr>
      </w:pPr>
      <w:bookmarkStart w:id="245" w:name="_Toc292048373_WPSOffice_Level1"/>
      <w:r>
        <w:rPr>
          <w:rFonts w:hint="eastAsia" w:ascii="宋体" w:hAnsi="宋体" w:eastAsia="宋体" w:cstheme="minorBidi"/>
          <w:b/>
          <w:bCs/>
          <w:kern w:val="2"/>
          <w:sz w:val="24"/>
          <w:szCs w:val="24"/>
        </w:rPr>
        <w:t>第二章 归档范围</w:t>
      </w:r>
      <w:bookmarkEnd w:id="245"/>
    </w:p>
    <w:p w14:paraId="3FC588D0">
      <w:pPr>
        <w:pStyle w:val="15"/>
        <w:shd w:val="clear" w:color="auto" w:fill="FFFFFF"/>
        <w:spacing w:before="156" w:beforeLines="50" w:beforeAutospacing="0" w:after="156" w:afterLines="50" w:afterAutospacing="0" w:line="480" w:lineRule="exact"/>
        <w:rPr>
          <w:rFonts w:ascii="宋体" w:hAnsi="宋体" w:eastAsia="宋体" w:cstheme="minorBidi"/>
          <w:kern w:val="2"/>
          <w:sz w:val="24"/>
          <w:szCs w:val="24"/>
        </w:rPr>
      </w:pPr>
      <w:r>
        <w:rPr>
          <w:rFonts w:hint="eastAsia" w:ascii="宋体" w:hAnsi="宋体" w:eastAsia="宋体" w:cstheme="minorBidi"/>
          <w:kern w:val="2"/>
          <w:sz w:val="24"/>
          <w:szCs w:val="24"/>
        </w:rPr>
        <w:t>　　第四条 归档范围按照有关规定执行。凡是反映本基金会工作活动、具有参考利用和保存价值的各种门类和载体的文件资料，均应及时归档。</w:t>
      </w:r>
    </w:p>
    <w:p w14:paraId="181E6443">
      <w:pPr>
        <w:pStyle w:val="15"/>
        <w:shd w:val="clear" w:color="auto" w:fill="FFFFFF"/>
        <w:spacing w:before="156" w:beforeLines="50" w:beforeAutospacing="0" w:after="156" w:afterLines="50" w:afterAutospacing="0" w:line="480" w:lineRule="exact"/>
        <w:jc w:val="center"/>
        <w:rPr>
          <w:rFonts w:ascii="宋体" w:hAnsi="宋体" w:eastAsia="宋体" w:cstheme="minorBidi"/>
          <w:b/>
          <w:bCs/>
          <w:kern w:val="2"/>
          <w:sz w:val="24"/>
          <w:szCs w:val="24"/>
        </w:rPr>
      </w:pPr>
      <w:bookmarkStart w:id="246" w:name="_Toc1456871616_WPSOffice_Level1"/>
      <w:r>
        <w:rPr>
          <w:rFonts w:hint="eastAsia" w:ascii="宋体" w:hAnsi="宋体" w:eastAsia="宋体" w:cstheme="minorBidi"/>
          <w:b/>
          <w:bCs/>
          <w:kern w:val="2"/>
          <w:sz w:val="24"/>
          <w:szCs w:val="24"/>
        </w:rPr>
        <w:t>第三章 归档要求</w:t>
      </w:r>
      <w:bookmarkEnd w:id="246"/>
    </w:p>
    <w:p w14:paraId="60F929DE">
      <w:pPr>
        <w:pStyle w:val="15"/>
        <w:shd w:val="clear" w:color="auto" w:fill="FFFFFF"/>
        <w:spacing w:before="156" w:beforeLines="50" w:beforeAutospacing="0" w:after="156" w:afterLines="50" w:afterAutospacing="0" w:line="480" w:lineRule="exact"/>
        <w:rPr>
          <w:rFonts w:ascii="宋体" w:hAnsi="宋体" w:eastAsia="宋体" w:cstheme="minorBidi"/>
          <w:kern w:val="2"/>
          <w:sz w:val="24"/>
          <w:szCs w:val="24"/>
        </w:rPr>
      </w:pPr>
      <w:r>
        <w:rPr>
          <w:rFonts w:hint="eastAsia" w:ascii="宋体" w:hAnsi="宋体" w:eastAsia="宋体" w:cstheme="minorBidi"/>
          <w:kern w:val="2"/>
          <w:sz w:val="24"/>
          <w:szCs w:val="24"/>
        </w:rPr>
        <w:t>　　第五条 凡属归档范围的文件材料，应按规定收集齐全，认真整理，按时向档案管理人员移交。各项业务工作中形成的文件材料的归档率、完整率应达到100％，任何个人不得据为己有或拒绝归档。</w:t>
      </w:r>
    </w:p>
    <w:p w14:paraId="51C80715">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第六条 归档的文件材料必须是办理完毕的正式文件材料。有关人员要严格把关，不得将不合规范的文件材料归档。</w:t>
      </w:r>
    </w:p>
    <w:p w14:paraId="01C49DE1">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第七条 归档的文件材料应当齐全完整，以“件”为单位进行整理。一般以一份文件为一件，正文与附件为一件，传真件应当复印并与原件为一件，请示与批复各为一件，一次上报的多份表格，每份表格可为一件。</w:t>
      </w:r>
    </w:p>
    <w:p w14:paraId="6EE96DC5">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第八条</w:t>
      </w:r>
      <w:r>
        <w:rPr>
          <w:rFonts w:ascii="宋体" w:hAnsi="宋体" w:eastAsia="宋体" w:cstheme="minorBidi"/>
          <w:kern w:val="2"/>
          <w:sz w:val="24"/>
          <w:szCs w:val="24"/>
        </w:rPr>
        <w:t xml:space="preserve"> </w:t>
      </w:r>
      <w:r>
        <w:rPr>
          <w:rFonts w:hint="eastAsia" w:ascii="宋体" w:hAnsi="宋体" w:eastAsia="宋体" w:cstheme="minorBidi"/>
          <w:kern w:val="2"/>
          <w:sz w:val="24"/>
          <w:szCs w:val="24"/>
        </w:rPr>
        <w:t xml:space="preserve"> 归档文件应按照自然形成、保持历史联系的原则依序排列，印件在前、定稿在后，正件在前、附件在后，批复在前、请示在后，并符合长期保管的质量要求。</w:t>
      </w:r>
    </w:p>
    <w:p w14:paraId="0C24FEC8">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第九条 建立电子档案，有电子版的归档文件，一律与纸质文件同步存档，并做好电子档案的备份存储工作。</w:t>
      </w:r>
    </w:p>
    <w:p w14:paraId="024EEB8B">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第十条 归档文件资料必须按规定时间归档，严格归档手续。归档时应拟制移交清单一式二份，交接双方据此查验清点档案，签名交接。</w:t>
      </w:r>
    </w:p>
    <w:p w14:paraId="28AEDF68">
      <w:pPr>
        <w:pStyle w:val="15"/>
        <w:shd w:val="clear" w:color="auto" w:fill="FFFFFF"/>
        <w:spacing w:before="156" w:beforeLines="50" w:beforeAutospacing="0" w:after="156" w:afterLines="50" w:afterAutospacing="0" w:line="480" w:lineRule="exact"/>
        <w:jc w:val="center"/>
        <w:rPr>
          <w:rFonts w:ascii="宋体" w:hAnsi="宋体" w:eastAsia="宋体" w:cstheme="minorBidi"/>
          <w:b/>
          <w:bCs/>
          <w:kern w:val="2"/>
          <w:sz w:val="24"/>
          <w:szCs w:val="24"/>
        </w:rPr>
      </w:pPr>
      <w:bookmarkStart w:id="247" w:name="_Toc32707018_WPSOffice_Level1"/>
      <w:r>
        <w:rPr>
          <w:rFonts w:hint="eastAsia" w:ascii="宋体" w:hAnsi="宋体" w:eastAsia="宋体" w:cstheme="minorBidi"/>
          <w:b/>
          <w:bCs/>
          <w:kern w:val="2"/>
          <w:sz w:val="24"/>
          <w:szCs w:val="24"/>
        </w:rPr>
        <w:t>第四章  档案的保管、移交、销毁</w:t>
      </w:r>
      <w:bookmarkEnd w:id="247"/>
    </w:p>
    <w:p w14:paraId="57BD5D31">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第十一条 档案保管应配置安全防范设施，加强防火、防盗、防潮、防尘、防虫等工作，保证档案的完好与安全。定期检查档案保管情况，发现问题及时处理。</w:t>
      </w:r>
    </w:p>
    <w:p w14:paraId="16AD0B6D">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第十二条 档案不得借出，如有特殊需要，经理事长批准，由基金会档案管理人员陪同并办理登记手续，可以提供查阅、摘抄、复印。查阅档案时，严禁在档案上作涂改、圈划、抽换、批注、污损和折皱。发现上述情况应追究当事人责任。</w:t>
      </w:r>
    </w:p>
    <w:p w14:paraId="079C1A49">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 xml:space="preserve">第十三条 </w:t>
      </w:r>
      <w:r>
        <w:rPr>
          <w:rFonts w:ascii="宋体" w:hAnsi="宋体" w:eastAsia="宋体" w:cstheme="minorBidi"/>
          <w:kern w:val="2"/>
          <w:sz w:val="24"/>
          <w:szCs w:val="24"/>
        </w:rPr>
        <w:t xml:space="preserve"> </w:t>
      </w:r>
      <w:r>
        <w:rPr>
          <w:rFonts w:hint="eastAsia" w:ascii="宋体" w:hAnsi="宋体" w:eastAsia="宋体" w:cstheme="minorBidi"/>
          <w:kern w:val="2"/>
          <w:sz w:val="24"/>
          <w:szCs w:val="24"/>
        </w:rPr>
        <w:t>档案移交、销毁按有关法律法规规定执行。</w:t>
      </w:r>
    </w:p>
    <w:p w14:paraId="0AA91327">
      <w:pPr>
        <w:pStyle w:val="15"/>
        <w:shd w:val="clear" w:color="auto" w:fill="FFFFFF"/>
        <w:spacing w:before="156" w:beforeLines="50" w:beforeAutospacing="0" w:after="156" w:afterLines="50" w:afterAutospacing="0" w:line="480" w:lineRule="exact"/>
        <w:jc w:val="center"/>
        <w:rPr>
          <w:rFonts w:ascii="宋体" w:hAnsi="宋体" w:eastAsia="宋体" w:cstheme="minorBidi"/>
          <w:b/>
          <w:bCs/>
          <w:kern w:val="2"/>
          <w:sz w:val="24"/>
          <w:szCs w:val="24"/>
        </w:rPr>
      </w:pPr>
      <w:bookmarkStart w:id="248" w:name="_Toc2098521541_WPSOffice_Level1"/>
      <w:r>
        <w:rPr>
          <w:rFonts w:hint="eastAsia" w:ascii="宋体" w:hAnsi="宋体" w:eastAsia="宋体" w:cstheme="minorBidi"/>
          <w:b/>
          <w:bCs/>
          <w:kern w:val="2"/>
          <w:sz w:val="24"/>
          <w:szCs w:val="24"/>
        </w:rPr>
        <w:t>第五章  附 则</w:t>
      </w:r>
      <w:bookmarkEnd w:id="248"/>
    </w:p>
    <w:p w14:paraId="13506E3A">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第十四条 本制度未尽事宜或与有关规定不一致的，按有关规定执行。</w:t>
      </w:r>
    </w:p>
    <w:p w14:paraId="0FA15D3F">
      <w:pPr>
        <w:pStyle w:val="15"/>
        <w:shd w:val="clear" w:color="auto" w:fill="FFFFFF"/>
        <w:spacing w:before="156" w:beforeLines="50" w:beforeAutospacing="0" w:after="156" w:afterLines="50" w:afterAutospacing="0" w:line="480" w:lineRule="exact"/>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第十五条 本制度由理事会负责解释。</w:t>
      </w:r>
    </w:p>
    <w:p w14:paraId="3C82F9E0">
      <w:pPr>
        <w:pStyle w:val="15"/>
        <w:shd w:val="clear" w:color="auto" w:fill="FFFFFF"/>
        <w:spacing w:before="156" w:beforeLines="50" w:beforeAutospacing="0" w:after="156" w:afterLines="50" w:afterAutospacing="0" w:line="480" w:lineRule="exact"/>
        <w:ind w:firstLine="480" w:firstLineChars="200"/>
        <w:rPr>
          <w:rFonts w:ascii="宋体" w:hAnsi="宋体" w:eastAsia="宋体"/>
        </w:rPr>
      </w:pPr>
      <w:r>
        <w:rPr>
          <w:rFonts w:hint="eastAsia" w:ascii="宋体" w:hAnsi="宋体" w:eastAsia="宋体" w:cstheme="minorBidi"/>
          <w:kern w:val="2"/>
          <w:sz w:val="24"/>
          <w:szCs w:val="24"/>
        </w:rPr>
        <w:t>第十六条 本制度自理事会审议通过后执行。</w:t>
      </w:r>
      <w:r>
        <w:rPr>
          <w:rFonts w:hint="eastAsia" w:ascii="宋体" w:hAnsi="宋体" w:eastAsia="宋体" w:cstheme="minorBidi"/>
          <w:kern w:val="2"/>
          <w:sz w:val="24"/>
          <w:szCs w:val="24"/>
        </w:rPr>
        <w:br w:type="textWrapping"/>
      </w:r>
      <w:r>
        <w:rPr>
          <w:rFonts w:hint="eastAsia" w:ascii="宋体" w:hAnsi="宋体" w:eastAsia="宋体"/>
          <w:color w:val="3F3734"/>
          <w:sz w:val="21"/>
          <w:szCs w:val="21"/>
        </w:rPr>
        <w:t> </w:t>
      </w:r>
    </w:p>
    <w:p w14:paraId="07B8E4DD">
      <w:pPr>
        <w:pStyle w:val="2"/>
      </w:pPr>
      <w:bookmarkStart w:id="249" w:name="_Toc1727604906_WPSOffice_Level1"/>
      <w:bookmarkStart w:id="250" w:name="_Toc289264948"/>
      <w:bookmarkStart w:id="251" w:name="_Toc1217872891"/>
      <w:r>
        <w:t>北京中致儿童关爱</w:t>
      </w:r>
      <w:r>
        <w:rPr>
          <w:rFonts w:hint="eastAsia"/>
        </w:rPr>
        <w:t>基金会</w:t>
      </w:r>
      <w:bookmarkEnd w:id="249"/>
      <w:bookmarkEnd w:id="250"/>
      <w:bookmarkEnd w:id="251"/>
    </w:p>
    <w:p w14:paraId="5B30A7A2">
      <w:pPr>
        <w:pStyle w:val="2"/>
      </w:pPr>
      <w:bookmarkStart w:id="252" w:name="_Toc1876747702_WPSOffice_Level1"/>
      <w:bookmarkStart w:id="253" w:name="_Toc1123039480"/>
      <w:bookmarkStart w:id="254" w:name="_Toc1920487875"/>
      <w:r>
        <w:rPr>
          <w:rFonts w:hint="eastAsia"/>
        </w:rPr>
        <w:t>名誉职务管理规定</w:t>
      </w:r>
      <w:bookmarkEnd w:id="252"/>
      <w:bookmarkEnd w:id="253"/>
      <w:bookmarkEnd w:id="254"/>
    </w:p>
    <w:p w14:paraId="749BD847">
      <w:pPr>
        <w:spacing w:before="156" w:beforeLines="50" w:after="156" w:afterLines="50" w:line="480" w:lineRule="exact"/>
        <w:ind w:firstLine="480" w:firstLineChars="200"/>
        <w:rPr>
          <w:rFonts w:ascii="宋体" w:hAnsi="宋体" w:eastAsia="宋体"/>
        </w:rPr>
      </w:pPr>
      <w:r>
        <w:rPr>
          <w:rFonts w:hint="eastAsia" w:ascii="宋体" w:hAnsi="宋体" w:eastAsia="宋体"/>
        </w:rPr>
        <w:t>根据国务院《基金管理条例》精神，按照基金会章程的有关规定，为鼓励和感谢社会各界人士及企事业单位的对公益事业的支持，进一步加强和推动基金会的工作，特制订本规定。</w:t>
      </w:r>
    </w:p>
    <w:p w14:paraId="19C50140">
      <w:pPr>
        <w:spacing w:after="156" w:afterLines="50" w:line="480" w:lineRule="exact"/>
        <w:ind w:left="630"/>
        <w:rPr>
          <w:rFonts w:ascii="宋体" w:hAnsi="宋体" w:eastAsia="宋体"/>
          <w:b/>
        </w:rPr>
      </w:pPr>
      <w:bookmarkStart w:id="255" w:name="_Toc258820378_WPSOffice_Level1"/>
      <w:r>
        <w:rPr>
          <w:rFonts w:hint="eastAsia" w:ascii="宋体" w:hAnsi="宋体" w:eastAsia="宋体"/>
          <w:b/>
        </w:rPr>
        <w:t>一、聘任名誉职务及聘任标准</w:t>
      </w:r>
      <w:bookmarkEnd w:id="255"/>
    </w:p>
    <w:p w14:paraId="35CDA5A1">
      <w:pPr>
        <w:spacing w:after="156" w:afterLines="50" w:line="480" w:lineRule="exact"/>
        <w:ind w:firstLine="480" w:firstLineChars="200"/>
        <w:rPr>
          <w:rFonts w:ascii="宋体" w:hAnsi="宋体" w:eastAsia="宋体"/>
        </w:rPr>
      </w:pPr>
      <w:r>
        <w:rPr>
          <w:rFonts w:hint="eastAsia" w:ascii="宋体" w:hAnsi="宋体" w:eastAsia="宋体"/>
        </w:rPr>
        <w:t>（一）基金会聘任名誉职务包括：名誉理事长、名誉副理事长、名誉理事。</w:t>
      </w:r>
    </w:p>
    <w:p w14:paraId="2D57DFDD">
      <w:pPr>
        <w:spacing w:after="156" w:afterLines="50" w:line="480" w:lineRule="exact"/>
        <w:ind w:firstLine="480" w:firstLineChars="200"/>
        <w:rPr>
          <w:rFonts w:ascii="宋体" w:hAnsi="宋体" w:eastAsia="宋体"/>
        </w:rPr>
      </w:pPr>
      <w:r>
        <w:rPr>
          <w:rFonts w:hint="eastAsia" w:ascii="宋体" w:hAnsi="宋体" w:eastAsia="宋体"/>
        </w:rPr>
        <w:t>（二）基金会发起单位、主要大额捐赠人等认为有需要的，可以推荐相关人员担任基金会的名誉职务。</w:t>
      </w:r>
    </w:p>
    <w:p w14:paraId="1F33FAFA">
      <w:pPr>
        <w:spacing w:after="156" w:afterLines="50" w:line="480" w:lineRule="exact"/>
        <w:ind w:firstLine="480" w:firstLineChars="200"/>
        <w:rPr>
          <w:rFonts w:ascii="宋体" w:hAnsi="宋体" w:eastAsia="宋体"/>
        </w:rPr>
      </w:pPr>
      <w:r>
        <w:rPr>
          <w:rFonts w:hint="eastAsia" w:ascii="宋体" w:hAnsi="宋体" w:eastAsia="宋体"/>
        </w:rPr>
        <w:t>（三）担任名誉职务的人员应当满足以下条件：</w:t>
      </w:r>
    </w:p>
    <w:p w14:paraId="28300C8F">
      <w:pPr>
        <w:spacing w:after="156" w:afterLines="50" w:line="480" w:lineRule="exact"/>
        <w:ind w:firstLine="480" w:firstLineChars="200"/>
        <w:rPr>
          <w:rFonts w:ascii="宋体" w:hAnsi="宋体" w:eastAsia="宋体"/>
        </w:rPr>
      </w:pPr>
      <w:r>
        <w:rPr>
          <w:rFonts w:ascii="宋体" w:hAnsi="宋体" w:eastAsia="宋体"/>
        </w:rPr>
        <w:t>1.</w:t>
      </w:r>
      <w:r>
        <w:rPr>
          <w:rFonts w:hint="eastAsia" w:ascii="宋体" w:hAnsi="宋体" w:eastAsia="宋体"/>
        </w:rPr>
        <w:t>具有完全民事行为能力；</w:t>
      </w:r>
    </w:p>
    <w:p w14:paraId="565E8537">
      <w:pPr>
        <w:spacing w:after="156" w:afterLines="50" w:line="480" w:lineRule="exact"/>
        <w:ind w:firstLine="480" w:firstLineChars="200"/>
        <w:rPr>
          <w:rFonts w:ascii="宋体" w:hAnsi="宋体" w:eastAsia="宋体"/>
        </w:rPr>
      </w:pPr>
      <w:r>
        <w:rPr>
          <w:rFonts w:ascii="宋体" w:hAnsi="宋体" w:eastAsia="宋体"/>
        </w:rPr>
        <w:t>2.</w:t>
      </w:r>
      <w:r>
        <w:rPr>
          <w:rFonts w:hint="eastAsia" w:ascii="宋体" w:hAnsi="宋体" w:eastAsia="宋体"/>
        </w:rPr>
        <w:t>热心公益，认可和遵守基金会的宗旨；</w:t>
      </w:r>
    </w:p>
    <w:p w14:paraId="032982D3">
      <w:pPr>
        <w:spacing w:after="156" w:afterLines="50" w:line="480" w:lineRule="exact"/>
        <w:ind w:firstLine="480" w:firstLineChars="200"/>
        <w:rPr>
          <w:rFonts w:ascii="宋体" w:hAnsi="宋体" w:eastAsia="宋体"/>
        </w:rPr>
      </w:pPr>
      <w:r>
        <w:rPr>
          <w:rFonts w:ascii="宋体" w:hAnsi="宋体" w:eastAsia="宋体"/>
        </w:rPr>
        <w:t>3.</w:t>
      </w:r>
      <w:r>
        <w:rPr>
          <w:rFonts w:hint="eastAsia" w:ascii="宋体" w:hAnsi="宋体" w:eastAsia="宋体"/>
        </w:rPr>
        <w:t>在其工作范围内具有较高的影响力；</w:t>
      </w:r>
    </w:p>
    <w:p w14:paraId="6A8C8515">
      <w:pPr>
        <w:spacing w:after="156" w:afterLines="50" w:line="480" w:lineRule="exact"/>
        <w:ind w:firstLine="480" w:firstLineChars="200"/>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有时间有意愿参与基金会的相关工作。</w:t>
      </w:r>
    </w:p>
    <w:p w14:paraId="2BDA6BD2">
      <w:pPr>
        <w:spacing w:after="156" w:afterLines="50" w:line="480" w:lineRule="exact"/>
        <w:ind w:firstLine="480" w:firstLineChars="200"/>
        <w:rPr>
          <w:rFonts w:ascii="宋体" w:hAnsi="宋体" w:eastAsia="宋体"/>
          <w:b/>
        </w:rPr>
      </w:pPr>
      <w:bookmarkStart w:id="256" w:name="_Toc1339707871_WPSOffice_Level1"/>
      <w:r>
        <w:rPr>
          <w:rFonts w:hint="eastAsia" w:ascii="宋体" w:hAnsi="宋体" w:eastAsia="宋体"/>
          <w:b/>
        </w:rPr>
        <w:t>二、聘任名誉职务的程序及任职时限</w:t>
      </w:r>
      <w:bookmarkEnd w:id="256"/>
    </w:p>
    <w:p w14:paraId="75672510">
      <w:pPr>
        <w:spacing w:after="156" w:afterLines="50" w:line="480" w:lineRule="exact"/>
        <w:ind w:firstLine="480" w:firstLineChars="200"/>
        <w:rPr>
          <w:rFonts w:ascii="宋体" w:hAnsi="宋体" w:eastAsia="宋体"/>
        </w:rPr>
      </w:pPr>
      <w:r>
        <w:rPr>
          <w:rFonts w:hint="eastAsia" w:ascii="宋体" w:hAnsi="宋体" w:eastAsia="宋体"/>
        </w:rPr>
        <w:t>基金会名誉职务的聘任，由理事会决定，理事会决定后，由基金会颁发《聘任证书》。聘任名誉职务人员的任职期限为五年，期满后聘任的名誉职务自动终止，</w:t>
      </w:r>
      <w:r>
        <w:rPr>
          <w:rFonts w:ascii="宋体" w:hAnsi="宋体" w:eastAsia="宋体"/>
        </w:rPr>
        <w:t>经理事会决定可以续聘。</w:t>
      </w:r>
    </w:p>
    <w:p w14:paraId="1105C57C">
      <w:pPr>
        <w:spacing w:after="156" w:afterLines="50" w:line="480" w:lineRule="exact"/>
        <w:ind w:firstLine="480" w:firstLineChars="200"/>
        <w:rPr>
          <w:rFonts w:ascii="宋体" w:hAnsi="宋体" w:eastAsia="宋体"/>
        </w:rPr>
      </w:pPr>
      <w:bookmarkStart w:id="257" w:name="_Toc104149102_WPSOffice_Level1"/>
      <w:r>
        <w:rPr>
          <w:rFonts w:hint="eastAsia" w:ascii="宋体" w:hAnsi="宋体" w:eastAsia="宋体"/>
          <w:b/>
        </w:rPr>
        <w:t>四、聘任名誉职务的权责</w:t>
      </w:r>
      <w:bookmarkEnd w:id="257"/>
    </w:p>
    <w:p w14:paraId="2575E477">
      <w:pPr>
        <w:spacing w:after="156" w:afterLines="50" w:line="480" w:lineRule="exact"/>
        <w:ind w:firstLine="480" w:firstLineChars="200"/>
        <w:rPr>
          <w:rFonts w:ascii="宋体" w:hAnsi="宋体" w:eastAsia="宋体"/>
        </w:rPr>
      </w:pPr>
      <w:r>
        <w:rPr>
          <w:rFonts w:hint="eastAsia" w:ascii="宋体" w:hAnsi="宋体" w:eastAsia="宋体"/>
        </w:rPr>
        <w:t>被聘任为名誉职务的人员可参与以下基金会事务：</w:t>
      </w:r>
    </w:p>
    <w:p w14:paraId="36CA6879">
      <w:pPr>
        <w:spacing w:after="156" w:afterLines="50" w:line="480" w:lineRule="exact"/>
        <w:ind w:firstLine="240" w:firstLineChars="100"/>
        <w:rPr>
          <w:rFonts w:ascii="宋体" w:hAnsi="宋体" w:eastAsia="宋体"/>
        </w:rPr>
      </w:pPr>
      <w:r>
        <w:rPr>
          <w:rFonts w:hint="eastAsia" w:ascii="宋体" w:hAnsi="宋体" w:eastAsia="宋体"/>
        </w:rPr>
        <w:t>（一）聘任为名誉理事长可列席参加理事会，并对理事会表决事项提出意见和建议；</w:t>
      </w:r>
    </w:p>
    <w:p w14:paraId="0E16A920">
      <w:pPr>
        <w:spacing w:after="156" w:afterLines="50" w:line="480" w:lineRule="exact"/>
        <w:ind w:firstLine="240" w:firstLineChars="100"/>
        <w:rPr>
          <w:rFonts w:ascii="宋体" w:hAnsi="宋体" w:eastAsia="宋体"/>
        </w:rPr>
      </w:pPr>
      <w:r>
        <w:rPr>
          <w:rFonts w:hint="eastAsia" w:ascii="宋体" w:hAnsi="宋体" w:eastAsia="宋体"/>
        </w:rPr>
        <w:t>（二）审议本会定期报送的财务报表；</w:t>
      </w:r>
    </w:p>
    <w:p w14:paraId="1662E8D3">
      <w:pPr>
        <w:spacing w:after="156" w:afterLines="50" w:line="480" w:lineRule="exact"/>
        <w:ind w:firstLine="240" w:firstLineChars="100"/>
        <w:rPr>
          <w:rFonts w:ascii="宋体" w:hAnsi="宋体" w:eastAsia="宋体"/>
        </w:rPr>
      </w:pPr>
      <w:r>
        <w:rPr>
          <w:rFonts w:hint="eastAsia" w:ascii="宋体" w:hAnsi="宋体" w:eastAsia="宋体"/>
        </w:rPr>
        <w:t>（三）为基金会的发展提供资金、专业、政府关系等资源的支持。</w:t>
      </w:r>
    </w:p>
    <w:p w14:paraId="6B8AA2F8">
      <w:pPr>
        <w:spacing w:after="156" w:afterLines="50" w:line="480" w:lineRule="exact"/>
        <w:ind w:firstLine="480" w:firstLineChars="200"/>
        <w:rPr>
          <w:rFonts w:ascii="宋体" w:hAnsi="宋体" w:eastAsia="宋体"/>
          <w:b/>
        </w:rPr>
      </w:pPr>
      <w:bookmarkStart w:id="258" w:name="_Toc234785009_WPSOffice_Level1"/>
      <w:r>
        <w:rPr>
          <w:rFonts w:hint="eastAsia" w:ascii="宋体" w:hAnsi="宋体" w:eastAsia="宋体"/>
          <w:b/>
        </w:rPr>
        <w:t>五、本规定实施</w:t>
      </w:r>
      <w:bookmarkEnd w:id="258"/>
    </w:p>
    <w:p w14:paraId="409AE666">
      <w:pPr>
        <w:spacing w:after="156" w:afterLines="50" w:line="480" w:lineRule="exact"/>
        <w:ind w:firstLine="240" w:firstLineChars="100"/>
        <w:rPr>
          <w:rFonts w:ascii="宋体" w:hAnsi="宋体" w:eastAsia="宋体"/>
        </w:rPr>
      </w:pPr>
      <w:r>
        <w:rPr>
          <w:rFonts w:hint="eastAsia" w:ascii="宋体" w:hAnsi="宋体" w:eastAsia="宋体"/>
        </w:rPr>
        <w:t>（一）本制度未尽事宜或与有关规定不一致的，按有关规定执行。</w:t>
      </w:r>
    </w:p>
    <w:p w14:paraId="1185BCE3">
      <w:pPr>
        <w:spacing w:after="156" w:afterLines="50" w:line="480" w:lineRule="exact"/>
        <w:ind w:firstLine="240" w:firstLineChars="100"/>
        <w:rPr>
          <w:rFonts w:ascii="宋体" w:hAnsi="宋体" w:eastAsia="宋体"/>
        </w:rPr>
      </w:pPr>
      <w:r>
        <w:rPr>
          <w:rFonts w:hint="eastAsia" w:ascii="宋体" w:hAnsi="宋体" w:eastAsia="宋体"/>
        </w:rPr>
        <w:t>（二）本制度由理事会负责解释。</w:t>
      </w:r>
    </w:p>
    <w:p w14:paraId="52ABFE2C">
      <w:pPr>
        <w:spacing w:after="156" w:afterLines="50" w:line="480" w:lineRule="exact"/>
        <w:ind w:firstLine="240" w:firstLineChars="100"/>
        <w:rPr>
          <w:rFonts w:ascii="宋体" w:hAnsi="宋体" w:eastAsia="宋体"/>
        </w:rPr>
      </w:pPr>
      <w:r>
        <w:rPr>
          <w:rFonts w:hint="eastAsia" w:ascii="宋体" w:hAnsi="宋体" w:eastAsia="宋体"/>
        </w:rPr>
        <w:t>（三）本制度自理事会审议通过后执行。</w:t>
      </w:r>
    </w:p>
    <w:p w14:paraId="2B42B02F">
      <w:pPr>
        <w:spacing w:line="276" w:lineRule="auto"/>
        <w:ind w:firstLine="480" w:firstLineChars="200"/>
        <w:rPr>
          <w:rFonts w:ascii="宋体" w:hAnsi="宋体" w:eastAsia="宋体"/>
          <w:b/>
        </w:rPr>
      </w:pPr>
    </w:p>
    <w:p w14:paraId="386DB884">
      <w:pPr>
        <w:spacing w:line="276" w:lineRule="auto"/>
        <w:ind w:firstLine="3127" w:firstLineChars="1303"/>
        <w:jc w:val="right"/>
        <w:rPr>
          <w:rFonts w:ascii="仿宋_GB2312"/>
        </w:rPr>
      </w:pPr>
    </w:p>
    <w:p w14:paraId="644C77B1">
      <w:r>
        <w:br w:type="page"/>
      </w:r>
    </w:p>
    <w:p w14:paraId="6498B60A">
      <w:pPr>
        <w:pStyle w:val="2"/>
      </w:pPr>
      <w:bookmarkStart w:id="259" w:name="_Toc1104186724_WPSOffice_Level1"/>
      <w:bookmarkStart w:id="260" w:name="_Toc690766877"/>
      <w:bookmarkStart w:id="261" w:name="_Toc960500715"/>
      <w:r>
        <w:t>北京中致儿童关爱</w:t>
      </w:r>
      <w:r>
        <w:rPr>
          <w:rFonts w:hint="eastAsia"/>
        </w:rPr>
        <w:t>基金会</w:t>
      </w:r>
      <w:bookmarkEnd w:id="259"/>
      <w:bookmarkEnd w:id="260"/>
      <w:bookmarkEnd w:id="261"/>
    </w:p>
    <w:p w14:paraId="518C7752">
      <w:pPr>
        <w:pStyle w:val="2"/>
      </w:pPr>
      <w:bookmarkStart w:id="262" w:name="_Toc500942506"/>
      <w:bookmarkStart w:id="263" w:name="_Toc422306057"/>
      <w:bookmarkStart w:id="264" w:name="_Toc1660076541_WPSOffice_Level1"/>
      <w:r>
        <w:rPr>
          <w:rFonts w:hint="eastAsia"/>
        </w:rPr>
        <w:t>证书和印章管理制度</w:t>
      </w:r>
      <w:bookmarkEnd w:id="262"/>
      <w:bookmarkEnd w:id="263"/>
      <w:bookmarkEnd w:id="264"/>
    </w:p>
    <w:p w14:paraId="14CA6EE4">
      <w:pPr>
        <w:widowControl/>
        <w:shd w:val="clear" w:color="auto" w:fill="FFFFFF"/>
        <w:spacing w:before="156" w:beforeLines="50" w:after="156" w:afterLines="50" w:line="480" w:lineRule="exact"/>
        <w:ind w:firstLine="480" w:firstLineChars="200"/>
        <w:jc w:val="center"/>
        <w:rPr>
          <w:rFonts w:ascii="宋体" w:hAnsi="宋体" w:eastAsia="宋体" w:cs="Times New Roman"/>
          <w:color w:val="000000" w:themeColor="text1"/>
          <w:kern w:val="0"/>
          <w14:textFill>
            <w14:solidFill>
              <w14:schemeClr w14:val="tx1"/>
            </w14:solidFill>
          </w14:textFill>
        </w:rPr>
      </w:pPr>
      <w:bookmarkStart w:id="265" w:name="_Toc798882763_WPSOffice_Level1"/>
      <w:r>
        <w:rPr>
          <w:rFonts w:hint="eastAsia" w:ascii="宋体" w:hAnsi="宋体" w:eastAsia="宋体" w:cs="Times New Roman"/>
          <w:b/>
          <w:bCs/>
          <w:color w:val="000000" w:themeColor="text1"/>
          <w:kern w:val="0"/>
          <w14:textFill>
            <w14:solidFill>
              <w14:schemeClr w14:val="tx1"/>
            </w14:solidFill>
          </w14:textFill>
        </w:rPr>
        <w:t>第一章  总 则</w:t>
      </w:r>
      <w:bookmarkEnd w:id="265"/>
    </w:p>
    <w:p w14:paraId="350CDC1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第一条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为加强本基金会证书和印章的管理与使用，确保证书、印章管理的合法性、规范性、严肃性和安全性，有效维护基金会利益，根据北京市民政局、北京市公安局关于社会组织印章管理有关规定和本基金会章程，结合实际，制定本制度。</w:t>
      </w:r>
    </w:p>
    <w:p w14:paraId="4964788F">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 xml:space="preserve">第二条 </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本制度所称证书是指本基金会的《法人登记证书》《组织机构代码证书》《银行开户许可证》的正副本以及其他相关证书。本制度所称印章是指基金会名称印章、办事机构印章和专用印章。</w:t>
      </w:r>
    </w:p>
    <w:p w14:paraId="2E71D8BF">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266" w:name="_Toc754836697_WPSOffice_Level1"/>
      <w:r>
        <w:rPr>
          <w:rFonts w:hint="eastAsia" w:ascii="宋体" w:hAnsi="宋体" w:eastAsia="宋体" w:cs="Times New Roman"/>
          <w:b/>
          <w:bCs/>
          <w:color w:val="000000" w:themeColor="text1"/>
          <w:kern w:val="0"/>
          <w14:textFill>
            <w14:solidFill>
              <w14:schemeClr w14:val="tx1"/>
            </w14:solidFill>
          </w14:textFill>
        </w:rPr>
        <w:t>第二章 证书管理</w:t>
      </w:r>
      <w:bookmarkEnd w:id="266"/>
    </w:p>
    <w:p w14:paraId="6094E636">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第三条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基金会法人登记证书、税务登记证书挂在基金会对外办公的显著位置，其他证书和证书副本由专人妥善保管。</w:t>
      </w:r>
    </w:p>
    <w:p w14:paraId="4B5082C1">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第四条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对外使用基金会证书，须经理事长</w:t>
      </w:r>
      <w:r>
        <w:rPr>
          <w:rFonts w:ascii="宋体" w:hAnsi="宋体" w:eastAsia="宋体" w:cs="Times New Roman"/>
          <w:color w:val="000000" w:themeColor="text1"/>
          <w:kern w:val="0"/>
          <w14:textFill>
            <w14:solidFill>
              <w14:schemeClr w14:val="tx1"/>
            </w14:solidFill>
          </w14:textFill>
        </w:rPr>
        <w:t>或秘书长</w:t>
      </w:r>
      <w:r>
        <w:rPr>
          <w:rFonts w:hint="eastAsia" w:ascii="宋体" w:hAnsi="宋体" w:eastAsia="宋体" w:cs="Times New Roman"/>
          <w:color w:val="000000" w:themeColor="text1"/>
          <w:kern w:val="0"/>
          <w14:textFill>
            <w14:solidFill>
              <w14:schemeClr w14:val="tx1"/>
            </w14:solidFill>
          </w14:textFill>
        </w:rPr>
        <w:t>同意，履行内部</w:t>
      </w:r>
      <w:r>
        <w:rPr>
          <w:rFonts w:ascii="宋体" w:hAnsi="宋体" w:eastAsia="宋体" w:cs="Times New Roman"/>
          <w:color w:val="000000" w:themeColor="text1"/>
          <w:kern w:val="0"/>
          <w14:textFill>
            <w14:solidFill>
              <w14:schemeClr w14:val="tx1"/>
            </w14:solidFill>
          </w14:textFill>
        </w:rPr>
        <w:t>程序后</w:t>
      </w:r>
      <w:r>
        <w:rPr>
          <w:rFonts w:hint="eastAsia" w:ascii="宋体" w:hAnsi="宋体" w:eastAsia="宋体" w:cs="Times New Roman"/>
          <w:color w:val="000000" w:themeColor="text1"/>
          <w:kern w:val="0"/>
          <w14:textFill>
            <w14:solidFill>
              <w14:schemeClr w14:val="tx1"/>
            </w14:solidFill>
          </w14:textFill>
        </w:rPr>
        <w:t>方可外出使用，并按要求及时归还。</w:t>
      </w:r>
    </w:p>
    <w:p w14:paraId="6AB4F77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第五条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基金会在规定的时间内到相关部门进行年检，并在证书上加盖年检部门的年检印章。</w:t>
      </w:r>
    </w:p>
    <w:p w14:paraId="3B8733E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第六条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不得涂改、出租、出借基金会证书。</w:t>
      </w:r>
    </w:p>
    <w:p w14:paraId="4CDFE9C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第七条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凡因证书使用或保管不当而造成严重事故者，将追究保管者的责任。</w:t>
      </w:r>
    </w:p>
    <w:p w14:paraId="45197474">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267" w:name="_Toc1354463650_WPSOffice_Level1"/>
      <w:r>
        <w:rPr>
          <w:rFonts w:hint="eastAsia" w:ascii="宋体" w:hAnsi="宋体" w:eastAsia="宋体" w:cs="Times New Roman"/>
          <w:b/>
          <w:bCs/>
          <w:color w:val="000000" w:themeColor="text1"/>
          <w:kern w:val="0"/>
          <w14:textFill>
            <w14:solidFill>
              <w14:schemeClr w14:val="tx1"/>
            </w14:solidFill>
          </w14:textFill>
        </w:rPr>
        <w:t>第三章 印章管理</w:t>
      </w:r>
      <w:bookmarkEnd w:id="267"/>
    </w:p>
    <w:p w14:paraId="7C956033">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第八条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印章的启用或废止按照北京市民政局、北京市公安局关于社会组织印章管理有关规定执行。    </w:t>
      </w:r>
    </w:p>
    <w:p w14:paraId="09989179">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第九条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印章的日常保管：</w:t>
      </w:r>
    </w:p>
    <w:p w14:paraId="3D1175B2">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（一）基金会印章由专人</w:t>
      </w:r>
      <w:r>
        <w:rPr>
          <w:rFonts w:ascii="宋体" w:hAnsi="宋体" w:eastAsia="宋体" w:cs="Times New Roman"/>
          <w:color w:val="000000" w:themeColor="text1"/>
          <w:kern w:val="0"/>
          <w14:textFill>
            <w14:solidFill>
              <w14:schemeClr w14:val="tx1"/>
            </w14:solidFill>
          </w14:textFill>
        </w:rPr>
        <w:t>保管</w:t>
      </w:r>
      <w:r>
        <w:rPr>
          <w:rFonts w:hint="eastAsia" w:ascii="宋体" w:hAnsi="宋体" w:eastAsia="宋体" w:cs="Times New Roman"/>
          <w:color w:val="000000" w:themeColor="text1"/>
          <w:kern w:val="0"/>
          <w14:textFill>
            <w14:solidFill>
              <w14:schemeClr w14:val="tx1"/>
            </w14:solidFill>
          </w14:textFill>
        </w:rPr>
        <w:t>；</w:t>
      </w:r>
    </w:p>
    <w:p w14:paraId="61DD03FB">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（二）保管人员要坚持原则，严格照章用印。用印前要核实签发人姓名、用印件内容与落款。盖印位置要恰当，印迹要端正清晰；</w:t>
      </w:r>
    </w:p>
    <w:p w14:paraId="76EE979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（三）印章存放地点要求安全保险，严禁携带印章离开用印办公地点。</w:t>
      </w:r>
    </w:p>
    <w:p w14:paraId="3A3B3D4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凡因印章使用或保管不当而出现严重事故者，将追究保管者的责任。</w:t>
      </w:r>
    </w:p>
    <w:p w14:paraId="0DAB6FBE">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第十一条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印章使用须经理事长</w:t>
      </w:r>
      <w:r>
        <w:rPr>
          <w:rFonts w:ascii="宋体" w:hAnsi="宋体" w:eastAsia="宋体" w:cs="Times New Roman"/>
          <w:color w:val="000000" w:themeColor="text1"/>
          <w:kern w:val="0"/>
          <w14:textFill>
            <w14:solidFill>
              <w14:schemeClr w14:val="tx1"/>
            </w14:solidFill>
          </w14:textFill>
        </w:rPr>
        <w:t>或秘书长</w:t>
      </w:r>
      <w:r>
        <w:rPr>
          <w:rFonts w:hint="eastAsia" w:ascii="宋体" w:hAnsi="宋体" w:eastAsia="宋体" w:cs="Times New Roman"/>
          <w:color w:val="000000" w:themeColor="text1"/>
          <w:kern w:val="0"/>
          <w14:textFill>
            <w14:solidFill>
              <w14:schemeClr w14:val="tx1"/>
            </w14:solidFill>
          </w14:textFill>
        </w:rPr>
        <w:t>同意，并履行内部审批</w:t>
      </w:r>
      <w:r>
        <w:rPr>
          <w:rFonts w:ascii="宋体" w:hAnsi="宋体" w:eastAsia="宋体" w:cs="Times New Roman"/>
          <w:color w:val="000000" w:themeColor="text1"/>
          <w:kern w:val="0"/>
          <w14:textFill>
            <w14:solidFill>
              <w14:schemeClr w14:val="tx1"/>
            </w14:solidFill>
          </w14:textFill>
        </w:rPr>
        <w:t>程序</w:t>
      </w:r>
      <w:r>
        <w:rPr>
          <w:rFonts w:hint="eastAsia" w:ascii="宋体" w:hAnsi="宋体" w:eastAsia="宋体" w:cs="Times New Roman"/>
          <w:color w:val="000000" w:themeColor="text1"/>
          <w:kern w:val="0"/>
          <w14:textFill>
            <w14:solidFill>
              <w14:schemeClr w14:val="tx1"/>
            </w14:solidFill>
          </w14:textFill>
        </w:rPr>
        <w:t>。</w:t>
      </w:r>
    </w:p>
    <w:p w14:paraId="04EA8B6B">
      <w:pPr>
        <w:widowControl/>
        <w:shd w:val="clear" w:color="auto" w:fill="FFFFFF"/>
        <w:spacing w:before="156" w:beforeLines="50" w:after="156" w:afterLines="50" w:line="480" w:lineRule="exact"/>
        <w:ind w:firstLine="480" w:firstLineChars="200"/>
        <w:jc w:val="center"/>
        <w:rPr>
          <w:rFonts w:ascii="宋体" w:hAnsi="宋体" w:eastAsia="宋体" w:cs="Times New Roman"/>
          <w:b/>
          <w:bCs/>
          <w:color w:val="000000" w:themeColor="text1"/>
          <w:kern w:val="0"/>
          <w14:textFill>
            <w14:solidFill>
              <w14:schemeClr w14:val="tx1"/>
            </w14:solidFill>
          </w14:textFill>
        </w:rPr>
      </w:pPr>
      <w:bookmarkStart w:id="268" w:name="_Toc1143907350_WPSOffice_Level1"/>
      <w:r>
        <w:rPr>
          <w:rFonts w:hint="eastAsia" w:ascii="宋体" w:hAnsi="宋体" w:eastAsia="宋体" w:cs="Times New Roman"/>
          <w:b/>
          <w:bCs/>
          <w:color w:val="000000" w:themeColor="text1"/>
          <w:kern w:val="0"/>
          <w14:textFill>
            <w14:solidFill>
              <w14:schemeClr w14:val="tx1"/>
            </w14:solidFill>
          </w14:textFill>
        </w:rPr>
        <w:t>第四章 附 则</w:t>
      </w:r>
      <w:bookmarkEnd w:id="268"/>
    </w:p>
    <w:p w14:paraId="34F32E9C">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第十二条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本制度未尽事宜或与有关规定不一致的，按有关规定执行。</w:t>
      </w:r>
    </w:p>
    <w:p w14:paraId="704FECFD">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第十三条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本制度由理事会负责解释。</w:t>
      </w:r>
    </w:p>
    <w:p w14:paraId="45438957">
      <w:pPr>
        <w:widowControl/>
        <w:shd w:val="clear" w:color="auto" w:fill="FFFFFF"/>
        <w:spacing w:before="156" w:beforeLines="50" w:after="156" w:afterLines="50" w:line="480" w:lineRule="exact"/>
        <w:ind w:firstLine="480" w:firstLineChars="200"/>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第十四条</w:t>
      </w:r>
      <w:r>
        <w:rPr>
          <w:rFonts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本制度自理事会审议通过后执行。</w:t>
      </w:r>
    </w:p>
    <w:p w14:paraId="4AF8A9F1">
      <w:pPr>
        <w:widowControl/>
        <w:spacing w:before="156" w:beforeLines="50" w:after="156" w:afterLines="50" w:line="480" w:lineRule="exact"/>
        <w:ind w:firstLine="440" w:firstLineChars="200"/>
        <w:jc w:val="left"/>
        <w:rPr>
          <w:rFonts w:ascii="宋体" w:hAnsi="宋体" w:eastAsia="宋体" w:cs="Times New Roman"/>
          <w:color w:val="000000" w:themeColor="text1"/>
          <w:kern w:val="0"/>
          <w:sz w:val="22"/>
          <w:szCs w:val="22"/>
          <w14:textFill>
            <w14:solidFill>
              <w14:schemeClr w14:val="tx1"/>
            </w14:solidFill>
          </w14:textFill>
        </w:rPr>
      </w:pPr>
    </w:p>
    <w:p w14:paraId="409C6C80">
      <w:pPr>
        <w:spacing w:before="156" w:beforeLines="50" w:after="156" w:afterLines="50" w:line="480" w:lineRule="exact"/>
        <w:ind w:firstLine="640" w:firstLineChars="200"/>
        <w:rPr>
          <w:rFonts w:ascii="宋体" w:hAnsi="宋体" w:eastAsia="宋体"/>
          <w:color w:val="000000" w:themeColor="text1"/>
          <w:sz w:val="32"/>
          <w:szCs w:val="32"/>
          <w14:textFill>
            <w14:solidFill>
              <w14:schemeClr w14:val="tx1"/>
            </w14:solidFill>
          </w14:textFill>
        </w:rPr>
      </w:pPr>
    </w:p>
    <w:p w14:paraId="4BFB3E32">
      <w:r>
        <w:br w:type="page"/>
      </w:r>
    </w:p>
    <w:p w14:paraId="008DD9E3">
      <w:pPr>
        <w:pStyle w:val="2"/>
      </w:pPr>
      <w:bookmarkStart w:id="269" w:name="_Toc1204802102"/>
      <w:bookmarkStart w:id="270" w:name="_Toc1377223506_WPSOffice_Level1"/>
      <w:bookmarkStart w:id="271" w:name="_Toc264446664"/>
      <w:r>
        <w:rPr>
          <w:rFonts w:hint="eastAsia"/>
        </w:rPr>
        <w:t>北京中致儿童关爱基金会</w:t>
      </w:r>
      <w:bookmarkEnd w:id="269"/>
      <w:bookmarkEnd w:id="270"/>
      <w:bookmarkEnd w:id="271"/>
    </w:p>
    <w:p w14:paraId="5CEC8526">
      <w:pPr>
        <w:pStyle w:val="2"/>
      </w:pPr>
      <w:bookmarkStart w:id="272" w:name="_Toc1416717976_WPSOffice_Level1"/>
      <w:bookmarkStart w:id="273" w:name="_Toc1411416205"/>
      <w:bookmarkStart w:id="274" w:name="_Toc485620751"/>
      <w:r>
        <w:rPr>
          <w:rFonts w:hint="eastAsia"/>
        </w:rPr>
        <w:t>志愿者管理制度</w:t>
      </w:r>
      <w:bookmarkEnd w:id="272"/>
      <w:bookmarkEnd w:id="273"/>
      <w:bookmarkEnd w:id="274"/>
    </w:p>
    <w:p w14:paraId="78BCD8AC">
      <w:pPr>
        <w:shd w:val="clear" w:color="auto" w:fill="FFFFFF"/>
        <w:outlineLvl w:val="2"/>
        <w:rPr>
          <w:rFonts w:ascii="宋体" w:hAnsi="宋体" w:eastAsia="宋体" w:cs="Times New Roman"/>
          <w:bCs/>
        </w:rPr>
      </w:pPr>
    </w:p>
    <w:p w14:paraId="7FD129EE">
      <w:pPr>
        <w:shd w:val="clear" w:color="auto" w:fill="FFFFFF"/>
        <w:outlineLvl w:val="2"/>
        <w:rPr>
          <w:rFonts w:ascii="宋体" w:hAnsi="宋体" w:eastAsia="宋体" w:cs="Times New Roman"/>
          <w:bCs/>
        </w:rPr>
      </w:pPr>
    </w:p>
    <w:p w14:paraId="16427B96">
      <w:pPr>
        <w:pStyle w:val="38"/>
        <w:shd w:val="clear" w:color="auto" w:fill="FFFFFF"/>
        <w:spacing w:line="420" w:lineRule="atLeast"/>
        <w:ind w:left="0"/>
        <w:rPr>
          <w:rFonts w:ascii="宋体" w:hAnsi="宋体" w:eastAsia="宋体" w:cs="Songti SC Regular"/>
        </w:rPr>
      </w:pPr>
      <w:bookmarkStart w:id="275" w:name="_Toc1973305723_WPSOffice_Level1"/>
      <w:bookmarkStart w:id="276" w:name="_Toc1627828343_WPSOffice_Level1"/>
      <w:r>
        <w:rPr>
          <w:rFonts w:ascii="宋体" w:hAnsi="宋体" w:eastAsia="宋体" w:cs="Songti SC Regular"/>
        </w:rPr>
        <w:t xml:space="preserve">第一条 </w:t>
      </w:r>
      <w:r>
        <w:rPr>
          <w:rFonts w:hint="eastAsia" w:ascii="宋体" w:hAnsi="宋体" w:eastAsia="宋体" w:cs="Songti SC Regular"/>
        </w:rPr>
        <w:t>目的：</w:t>
      </w:r>
      <w:bookmarkEnd w:id="275"/>
      <w:bookmarkEnd w:id="276"/>
    </w:p>
    <w:p w14:paraId="0F8BE12B">
      <w:pPr>
        <w:pStyle w:val="38"/>
        <w:shd w:val="clear" w:color="auto" w:fill="FFFFFF"/>
        <w:spacing w:line="420" w:lineRule="atLeast"/>
        <w:rPr>
          <w:rFonts w:ascii="宋体" w:hAnsi="宋体" w:eastAsia="宋体" w:cs="Songti SC Regular"/>
          <w:shd w:val="clear" w:color="auto" w:fill="FFFFFF"/>
        </w:rPr>
      </w:pPr>
      <w:r>
        <w:rPr>
          <w:rFonts w:hint="eastAsia" w:ascii="宋体" w:hAnsi="宋体" w:eastAsia="宋体" w:cs="Songti SC Regular"/>
          <w:shd w:val="clear" w:color="auto" w:fill="FFFFFF"/>
        </w:rPr>
        <w:t>为了更好地聚合北京中致儿童关爱基金会（以下简称“基金会“）的志愿者人才，提高志愿者的工作效率和服务水平，保障志愿者的合法权益，促进基金会的规范化管理和志愿服务事业的健康发展，根据《志愿服务条例》，制定本制度。</w:t>
      </w:r>
    </w:p>
    <w:p w14:paraId="0449E087">
      <w:pPr>
        <w:shd w:val="clear" w:color="auto" w:fill="FFFFFF"/>
        <w:spacing w:line="420" w:lineRule="atLeast"/>
        <w:rPr>
          <w:rFonts w:ascii="宋体" w:hAnsi="宋体" w:eastAsia="宋体" w:cs="Songti SC Regular"/>
          <w:shd w:val="clear" w:color="auto" w:fill="FFFFFF"/>
        </w:rPr>
      </w:pPr>
    </w:p>
    <w:p w14:paraId="21374D79">
      <w:pPr>
        <w:pStyle w:val="38"/>
        <w:shd w:val="clear" w:color="auto" w:fill="FFFFFF"/>
        <w:spacing w:line="420" w:lineRule="atLeast"/>
        <w:ind w:left="0"/>
        <w:rPr>
          <w:rFonts w:ascii="宋体" w:hAnsi="宋体" w:eastAsia="宋体" w:cs="Songti SC Regular"/>
        </w:rPr>
      </w:pPr>
      <w:bookmarkStart w:id="277" w:name="_Toc2116781668_WPSOffice_Level1"/>
      <w:bookmarkStart w:id="278" w:name="_Toc1759325840_WPSOffice_Level1"/>
      <w:r>
        <w:rPr>
          <w:rFonts w:ascii="宋体" w:hAnsi="宋体" w:eastAsia="宋体" w:cs="Songti SC Regular"/>
        </w:rPr>
        <w:t xml:space="preserve">第二条 </w:t>
      </w:r>
      <w:r>
        <w:rPr>
          <w:rFonts w:hint="eastAsia" w:ascii="宋体" w:hAnsi="宋体" w:eastAsia="宋体" w:cs="Songti SC Regular"/>
        </w:rPr>
        <w:t>志愿者的基本条件：</w:t>
      </w:r>
      <w:bookmarkEnd w:id="277"/>
      <w:bookmarkEnd w:id="278"/>
    </w:p>
    <w:p w14:paraId="61A3D7CC">
      <w:pPr>
        <w:pStyle w:val="38"/>
        <w:numPr>
          <w:ilvl w:val="0"/>
          <w:numId w:val="15"/>
        </w:numPr>
        <w:shd w:val="clear" w:color="auto" w:fill="FFFFFF"/>
        <w:spacing w:line="420" w:lineRule="atLeast"/>
        <w:rPr>
          <w:rFonts w:ascii="宋体" w:hAnsi="宋体" w:eastAsia="宋体" w:cs="Songti SC Regular"/>
        </w:rPr>
      </w:pPr>
      <w:r>
        <w:rPr>
          <w:rFonts w:hint="eastAsia" w:ascii="宋体" w:hAnsi="宋体" w:eastAsia="宋体" w:cs="Songti SC Regular"/>
        </w:rPr>
        <w:t>认同基金会的宗旨和理念，对儿童保护有浓厚兴趣；</w:t>
      </w:r>
    </w:p>
    <w:p w14:paraId="659A99D4">
      <w:pPr>
        <w:pStyle w:val="38"/>
        <w:numPr>
          <w:ilvl w:val="0"/>
          <w:numId w:val="15"/>
        </w:numPr>
        <w:shd w:val="clear" w:color="auto" w:fill="FFFFFF"/>
        <w:spacing w:line="420" w:lineRule="atLeast"/>
        <w:rPr>
          <w:rFonts w:ascii="宋体" w:hAnsi="宋体" w:eastAsia="宋体" w:cs="Songti SC Regular"/>
        </w:rPr>
      </w:pPr>
      <w:r>
        <w:rPr>
          <w:rFonts w:hint="eastAsia" w:ascii="宋体" w:hAnsi="宋体" w:eastAsia="宋体" w:cs="Songti SC Regular"/>
        </w:rPr>
        <w:t>遵守国家法律法规，积极乐观；</w:t>
      </w:r>
    </w:p>
    <w:p w14:paraId="770C495B">
      <w:pPr>
        <w:pStyle w:val="38"/>
        <w:numPr>
          <w:ilvl w:val="0"/>
          <w:numId w:val="15"/>
        </w:numPr>
        <w:shd w:val="clear" w:color="auto" w:fill="FFFFFF"/>
        <w:spacing w:line="420" w:lineRule="atLeast"/>
        <w:rPr>
          <w:rFonts w:ascii="宋体" w:hAnsi="宋体" w:eastAsia="宋体" w:cs="Songti SC Regular"/>
        </w:rPr>
      </w:pPr>
      <w:r>
        <w:rPr>
          <w:rFonts w:hint="eastAsia" w:ascii="宋体" w:hAnsi="宋体" w:eastAsia="宋体" w:cs="Songti SC Regular"/>
        </w:rPr>
        <w:t>认真负责、学习能力强；</w:t>
      </w:r>
    </w:p>
    <w:p w14:paraId="2D67251E">
      <w:pPr>
        <w:pStyle w:val="38"/>
        <w:numPr>
          <w:ilvl w:val="0"/>
          <w:numId w:val="15"/>
        </w:numPr>
        <w:shd w:val="clear" w:color="auto" w:fill="FFFFFF"/>
        <w:spacing w:line="420" w:lineRule="atLeast"/>
        <w:rPr>
          <w:rFonts w:ascii="宋体" w:hAnsi="宋体" w:eastAsia="宋体" w:cs="Songti SC Regular"/>
        </w:rPr>
      </w:pPr>
      <w:r>
        <w:rPr>
          <w:rFonts w:hint="eastAsia" w:ascii="宋体" w:hAnsi="宋体" w:eastAsia="宋体" w:cs="Songti SC Regular"/>
        </w:rPr>
        <w:t>有团队合作精神；</w:t>
      </w:r>
    </w:p>
    <w:p w14:paraId="6907A984">
      <w:pPr>
        <w:pStyle w:val="38"/>
        <w:numPr>
          <w:ilvl w:val="0"/>
          <w:numId w:val="15"/>
        </w:numPr>
        <w:shd w:val="clear" w:color="auto" w:fill="FFFFFF"/>
        <w:spacing w:line="420" w:lineRule="atLeast"/>
        <w:rPr>
          <w:rFonts w:ascii="宋体" w:hAnsi="宋体" w:eastAsia="宋体" w:cs="Songti SC Regular"/>
        </w:rPr>
      </w:pPr>
      <w:r>
        <w:rPr>
          <w:rFonts w:hint="eastAsia" w:ascii="宋体" w:hAnsi="宋体" w:eastAsia="宋体" w:cs="Songti SC Regular"/>
        </w:rPr>
        <w:t>有爱心。</w:t>
      </w:r>
    </w:p>
    <w:p w14:paraId="65FF20F1">
      <w:pPr>
        <w:shd w:val="clear" w:color="auto" w:fill="FFFFFF"/>
        <w:spacing w:line="420" w:lineRule="atLeast"/>
        <w:rPr>
          <w:rFonts w:ascii="宋体" w:hAnsi="宋体" w:eastAsia="宋体" w:cs="Songti SC Regular"/>
        </w:rPr>
      </w:pPr>
    </w:p>
    <w:p w14:paraId="079F9E49">
      <w:pPr>
        <w:pStyle w:val="38"/>
        <w:shd w:val="clear" w:color="auto" w:fill="FFFFFF"/>
        <w:spacing w:line="420" w:lineRule="atLeast"/>
        <w:ind w:left="0"/>
        <w:rPr>
          <w:rFonts w:ascii="宋体" w:hAnsi="宋体" w:eastAsia="宋体" w:cs="Songti SC Regular"/>
        </w:rPr>
      </w:pPr>
      <w:bookmarkStart w:id="279" w:name="_Toc287057337_WPSOffice_Level1"/>
      <w:bookmarkStart w:id="280" w:name="_Toc1535397874_WPSOffice_Level1"/>
      <w:r>
        <w:rPr>
          <w:rFonts w:ascii="宋体" w:hAnsi="宋体" w:eastAsia="宋体" w:cs="Songti SC Regular"/>
        </w:rPr>
        <w:t xml:space="preserve">第三条 </w:t>
      </w:r>
      <w:r>
        <w:rPr>
          <w:rFonts w:hint="eastAsia" w:ascii="宋体" w:hAnsi="宋体" w:eastAsia="宋体" w:cs="Songti SC Regular"/>
        </w:rPr>
        <w:t>志愿者招募的方式：</w:t>
      </w:r>
      <w:bookmarkEnd w:id="279"/>
      <w:bookmarkEnd w:id="280"/>
    </w:p>
    <w:p w14:paraId="11881D1B">
      <w:pPr>
        <w:pStyle w:val="38"/>
        <w:numPr>
          <w:ilvl w:val="0"/>
          <w:numId w:val="16"/>
        </w:numPr>
        <w:shd w:val="clear" w:color="auto" w:fill="FFFFFF"/>
        <w:spacing w:line="420" w:lineRule="atLeast"/>
        <w:rPr>
          <w:rFonts w:ascii="宋体" w:hAnsi="宋体" w:eastAsia="宋体" w:cs="Songti SC Regular"/>
        </w:rPr>
      </w:pPr>
      <w:r>
        <w:rPr>
          <w:rFonts w:hint="eastAsia" w:ascii="宋体" w:hAnsi="宋体" w:eastAsia="宋体" w:cs="Songti SC Regular"/>
        </w:rPr>
        <w:t>基金会通过网站、微信公众号等媒体公布志愿者招募的信息和要求；申请人充分了解志愿者的工作要求和内容，根据自己的实际情况和技能填写《志愿者申请表》，基金会将会严格保护志愿者隐私，志愿者提供的个人基本信息应当真实、准确、完整；</w:t>
      </w:r>
    </w:p>
    <w:p w14:paraId="2DD14C55">
      <w:pPr>
        <w:pStyle w:val="38"/>
        <w:numPr>
          <w:ilvl w:val="0"/>
          <w:numId w:val="16"/>
        </w:numPr>
        <w:shd w:val="clear" w:color="auto" w:fill="FFFFFF"/>
        <w:spacing w:line="420" w:lineRule="atLeast"/>
        <w:rPr>
          <w:rFonts w:ascii="宋体" w:hAnsi="宋体" w:eastAsia="宋体" w:cs="Songti SC Regular"/>
        </w:rPr>
      </w:pPr>
      <w:r>
        <w:rPr>
          <w:rFonts w:hint="eastAsia" w:ascii="宋体" w:hAnsi="宋体" w:eastAsia="宋体" w:cs="Songti SC Regular"/>
        </w:rPr>
        <w:t>基金会对申请人的申请表进行筛选，对符合条件的志愿者进行在线面试、电话面试或线下面试。</w:t>
      </w:r>
    </w:p>
    <w:p w14:paraId="516A2335">
      <w:pPr>
        <w:pStyle w:val="38"/>
        <w:numPr>
          <w:ilvl w:val="0"/>
          <w:numId w:val="16"/>
        </w:numPr>
        <w:shd w:val="clear" w:color="auto" w:fill="FFFFFF"/>
        <w:spacing w:line="420" w:lineRule="atLeast"/>
        <w:rPr>
          <w:rFonts w:ascii="宋体" w:hAnsi="宋体" w:eastAsia="宋体" w:cs="Songti SC Regular"/>
        </w:rPr>
      </w:pPr>
      <w:r>
        <w:rPr>
          <w:rFonts w:hint="eastAsia" w:ascii="宋体" w:hAnsi="宋体" w:eastAsia="宋体" w:cs="Songti SC Regular"/>
        </w:rPr>
        <w:t>志愿服务时间超过一个月的，或者参与的志愿服务存在人身伤害风险的志愿者，基金会应该与志愿者签订志愿服务协议。</w:t>
      </w:r>
    </w:p>
    <w:p w14:paraId="6FD58949">
      <w:pPr>
        <w:shd w:val="clear" w:color="auto" w:fill="FFFFFF"/>
        <w:spacing w:line="420" w:lineRule="atLeast"/>
        <w:rPr>
          <w:rFonts w:ascii="宋体" w:hAnsi="宋体" w:eastAsia="宋体" w:cs="Songti SC Regular"/>
        </w:rPr>
      </w:pPr>
    </w:p>
    <w:p w14:paraId="6E0097F9">
      <w:pPr>
        <w:pStyle w:val="38"/>
        <w:shd w:val="clear" w:color="auto" w:fill="FFFFFF"/>
        <w:spacing w:line="420" w:lineRule="atLeast"/>
        <w:ind w:left="0"/>
        <w:rPr>
          <w:rFonts w:ascii="宋体" w:hAnsi="宋体" w:eastAsia="宋体" w:cs="Songti SC Regular"/>
        </w:rPr>
      </w:pPr>
      <w:bookmarkStart w:id="281" w:name="_Toc1268565966_WPSOffice_Level1"/>
      <w:bookmarkStart w:id="282" w:name="_Toc1324391797_WPSOffice_Level1"/>
      <w:r>
        <w:rPr>
          <w:rFonts w:ascii="宋体" w:hAnsi="宋体" w:eastAsia="宋体" w:cs="Songti SC Regular"/>
        </w:rPr>
        <w:t xml:space="preserve">第四条 </w:t>
      </w:r>
      <w:r>
        <w:rPr>
          <w:rFonts w:hint="eastAsia" w:ascii="宋体" w:hAnsi="宋体" w:eastAsia="宋体" w:cs="Songti SC Regular"/>
        </w:rPr>
        <w:t>志愿者的工作安排：</w:t>
      </w:r>
      <w:bookmarkEnd w:id="281"/>
      <w:bookmarkEnd w:id="282"/>
    </w:p>
    <w:p w14:paraId="27D31F5F">
      <w:pPr>
        <w:pStyle w:val="38"/>
        <w:numPr>
          <w:ilvl w:val="0"/>
          <w:numId w:val="17"/>
        </w:numPr>
        <w:shd w:val="clear" w:color="auto" w:fill="FFFFFF"/>
        <w:spacing w:line="420" w:lineRule="atLeast"/>
        <w:rPr>
          <w:rFonts w:ascii="宋体" w:hAnsi="宋体" w:eastAsia="宋体" w:cs="Songti SC Regular"/>
        </w:rPr>
      </w:pPr>
      <w:r>
        <w:rPr>
          <w:rFonts w:hint="eastAsia" w:ascii="宋体" w:hAnsi="宋体" w:eastAsia="宋体" w:cs="Songti SC Regular"/>
        </w:rPr>
        <w:t>基金会将为志愿者提供必要的培训，其中包括基金会的背景和宗旨、项目的具体情况、相关志愿者岗位的要求、流程和工作方法等；</w:t>
      </w:r>
    </w:p>
    <w:p w14:paraId="69675959">
      <w:pPr>
        <w:pStyle w:val="38"/>
        <w:numPr>
          <w:ilvl w:val="0"/>
          <w:numId w:val="17"/>
        </w:numPr>
        <w:shd w:val="clear" w:color="auto" w:fill="FFFFFF"/>
        <w:spacing w:line="420" w:lineRule="atLeast"/>
        <w:rPr>
          <w:rFonts w:ascii="宋体" w:hAnsi="宋体" w:eastAsia="宋体" w:cs="Songti SC Regular"/>
        </w:rPr>
      </w:pPr>
      <w:r>
        <w:rPr>
          <w:rFonts w:hint="eastAsia" w:ascii="宋体" w:hAnsi="宋体" w:eastAsia="宋体" w:cs="Songti SC Regular"/>
        </w:rPr>
        <w:t>志愿者服务的内容包括但不限于公益项目的执行，还包括其他符合基金会宗旨的儿童关爱保护工作；</w:t>
      </w:r>
    </w:p>
    <w:p w14:paraId="3CDBA35E">
      <w:pPr>
        <w:pStyle w:val="38"/>
        <w:numPr>
          <w:ilvl w:val="0"/>
          <w:numId w:val="17"/>
        </w:numPr>
        <w:shd w:val="clear" w:color="auto" w:fill="FFFFFF"/>
        <w:spacing w:line="420" w:lineRule="atLeast"/>
        <w:rPr>
          <w:rFonts w:ascii="宋体" w:hAnsi="宋体" w:eastAsia="宋体" w:cs="Songti SC Regular"/>
        </w:rPr>
      </w:pPr>
      <w:r>
        <w:rPr>
          <w:rFonts w:hint="eastAsia" w:ascii="宋体" w:hAnsi="宋体" w:eastAsia="宋体" w:cs="Songti SC Regular"/>
        </w:rPr>
        <w:t>基金会将对志愿者的服务情况进行记录，包括志愿者服务时间、内容、志愿者自我评价以及志愿者负责人反馈等内容；</w:t>
      </w:r>
    </w:p>
    <w:p w14:paraId="5117268A">
      <w:pPr>
        <w:pStyle w:val="38"/>
        <w:numPr>
          <w:ilvl w:val="0"/>
          <w:numId w:val="17"/>
        </w:numPr>
        <w:shd w:val="clear" w:color="auto" w:fill="FFFFFF"/>
        <w:spacing w:line="420" w:lineRule="atLeast"/>
        <w:rPr>
          <w:rFonts w:ascii="宋体" w:hAnsi="宋体" w:eastAsia="宋体" w:cs="Songti SC Regular"/>
        </w:rPr>
      </w:pPr>
      <w:r>
        <w:rPr>
          <w:rFonts w:hint="eastAsia" w:ascii="宋体" w:hAnsi="宋体" w:eastAsia="宋体" w:cs="Songti SC Regular"/>
        </w:rPr>
        <w:t>对有可能存在人身危险的工作，基金会将为志愿者购买《人身意外伤害保险》。</w:t>
      </w:r>
    </w:p>
    <w:p w14:paraId="002E4A5D">
      <w:pPr>
        <w:shd w:val="clear" w:color="auto" w:fill="FFFFFF"/>
        <w:spacing w:line="420" w:lineRule="atLeast"/>
        <w:rPr>
          <w:rFonts w:ascii="宋体" w:hAnsi="宋体" w:eastAsia="宋体" w:cs="Songti SC Regular"/>
        </w:rPr>
      </w:pPr>
    </w:p>
    <w:p w14:paraId="0AE7772E">
      <w:pPr>
        <w:pStyle w:val="38"/>
        <w:shd w:val="clear" w:color="auto" w:fill="FFFFFF"/>
        <w:spacing w:line="420" w:lineRule="atLeast"/>
        <w:ind w:left="0"/>
        <w:rPr>
          <w:rFonts w:ascii="宋体" w:hAnsi="宋体" w:eastAsia="宋体" w:cs="Songti SC Regular"/>
        </w:rPr>
      </w:pPr>
      <w:bookmarkStart w:id="283" w:name="_Toc384931024_WPSOffice_Level1"/>
      <w:bookmarkStart w:id="284" w:name="_Toc570543146_WPSOffice_Level1"/>
      <w:r>
        <w:rPr>
          <w:rFonts w:ascii="宋体" w:hAnsi="宋体" w:eastAsia="宋体" w:cs="Songti SC Regular"/>
        </w:rPr>
        <w:t xml:space="preserve">第五条 </w:t>
      </w:r>
      <w:r>
        <w:rPr>
          <w:rFonts w:hint="eastAsia" w:ascii="宋体" w:hAnsi="宋体" w:eastAsia="宋体" w:cs="Songti SC Regular"/>
        </w:rPr>
        <w:t>志愿者的工作纪律：</w:t>
      </w:r>
      <w:bookmarkEnd w:id="283"/>
      <w:bookmarkEnd w:id="284"/>
    </w:p>
    <w:p w14:paraId="6CD3C553">
      <w:pPr>
        <w:pStyle w:val="38"/>
        <w:numPr>
          <w:ilvl w:val="0"/>
          <w:numId w:val="18"/>
        </w:numPr>
        <w:shd w:val="clear" w:color="auto" w:fill="FFFFFF"/>
        <w:spacing w:line="420" w:lineRule="atLeast"/>
        <w:rPr>
          <w:rFonts w:ascii="宋体" w:hAnsi="宋体" w:eastAsia="宋体" w:cs="Songti SC Regular"/>
        </w:rPr>
      </w:pPr>
      <w:r>
        <w:rPr>
          <w:rFonts w:hint="eastAsia" w:ascii="宋体" w:hAnsi="宋体" w:eastAsia="宋体" w:cs="Songti SC Regular"/>
        </w:rPr>
        <w:t>志愿者应当服从基金会的志愿工作安排，服务期间不得无故迟到、早退或缺席。若因事需要请假，应提前1日与项目负责人沟通，以便及时安排其他志愿者；</w:t>
      </w:r>
    </w:p>
    <w:p w14:paraId="1345F06A">
      <w:pPr>
        <w:pStyle w:val="38"/>
        <w:numPr>
          <w:ilvl w:val="0"/>
          <w:numId w:val="18"/>
        </w:numPr>
        <w:shd w:val="clear" w:color="auto" w:fill="FFFFFF"/>
        <w:spacing w:line="420" w:lineRule="atLeast"/>
        <w:rPr>
          <w:rFonts w:ascii="宋体" w:hAnsi="宋体" w:eastAsia="宋体" w:cs="Songti SC Regular"/>
        </w:rPr>
      </w:pPr>
      <w:r>
        <w:rPr>
          <w:rFonts w:hint="eastAsia" w:ascii="宋体" w:hAnsi="宋体" w:eastAsia="宋体" w:cs="Songti SC Regular"/>
        </w:rPr>
        <w:t>志愿者能够按照工作、在规定时间内完成志愿服务工作。如遇变化或紧急情况，应及时与项目负责人沟通，以便妥善安排或解决问题；</w:t>
      </w:r>
    </w:p>
    <w:p w14:paraId="7D24D305">
      <w:pPr>
        <w:pStyle w:val="38"/>
        <w:numPr>
          <w:ilvl w:val="0"/>
          <w:numId w:val="18"/>
        </w:numPr>
        <w:shd w:val="clear" w:color="auto" w:fill="FFFFFF"/>
        <w:spacing w:line="420" w:lineRule="atLeast"/>
        <w:rPr>
          <w:rFonts w:ascii="宋体" w:hAnsi="宋体" w:eastAsia="宋体" w:cs="Songti SC Regular"/>
        </w:rPr>
      </w:pPr>
      <w:r>
        <w:rPr>
          <w:rFonts w:hint="eastAsia" w:ascii="宋体" w:hAnsi="宋体" w:eastAsia="宋体" w:cs="Songti SC Regular"/>
        </w:rPr>
        <w:t>志愿者对工作中接触到的基金会外事、项目和案件信息进行保密。基金会可以根据项目，要求志愿者签署《保密协议》；</w:t>
      </w:r>
    </w:p>
    <w:p w14:paraId="08C04FB8">
      <w:pPr>
        <w:pStyle w:val="38"/>
        <w:numPr>
          <w:ilvl w:val="0"/>
          <w:numId w:val="18"/>
        </w:numPr>
        <w:shd w:val="clear" w:color="auto" w:fill="FFFFFF"/>
        <w:spacing w:line="420" w:lineRule="atLeast"/>
        <w:rPr>
          <w:rFonts w:ascii="宋体" w:hAnsi="宋体" w:eastAsia="宋体" w:cs="Songti SC Regular"/>
        </w:rPr>
      </w:pPr>
      <w:r>
        <w:rPr>
          <w:rFonts w:hint="eastAsia" w:ascii="宋体" w:hAnsi="宋体" w:eastAsia="宋体" w:cs="Songti SC Regular"/>
        </w:rPr>
        <w:t>在志愿服务期间，志愿者不得未经许可擅自外出。对于因擅自离队外出造成的意外伤害，基金会不承担法律责任。</w:t>
      </w:r>
    </w:p>
    <w:p w14:paraId="54BF04B5">
      <w:pPr>
        <w:shd w:val="clear" w:color="auto" w:fill="FFFFFF"/>
        <w:spacing w:line="420" w:lineRule="atLeast"/>
        <w:rPr>
          <w:rFonts w:ascii="宋体" w:hAnsi="宋体" w:eastAsia="宋体" w:cs="Songti SC Regular"/>
        </w:rPr>
      </w:pPr>
    </w:p>
    <w:p w14:paraId="3F247CCE">
      <w:pPr>
        <w:pStyle w:val="38"/>
        <w:shd w:val="clear" w:color="auto" w:fill="FFFFFF"/>
        <w:spacing w:line="420" w:lineRule="atLeast"/>
        <w:ind w:left="0"/>
        <w:rPr>
          <w:rFonts w:ascii="宋体" w:hAnsi="宋体" w:eastAsia="宋体" w:cs="Songti SC Regular"/>
        </w:rPr>
      </w:pPr>
      <w:bookmarkStart w:id="285" w:name="_Toc1314975604_WPSOffice_Level1"/>
      <w:bookmarkStart w:id="286" w:name="_Toc604170967_WPSOffice_Level1"/>
      <w:r>
        <w:rPr>
          <w:rFonts w:ascii="宋体" w:hAnsi="宋体" w:eastAsia="宋体" w:cs="Songti SC Regular"/>
        </w:rPr>
        <w:t xml:space="preserve">第六条 </w:t>
      </w:r>
      <w:r>
        <w:rPr>
          <w:rFonts w:hint="eastAsia" w:ascii="宋体" w:hAnsi="宋体" w:eastAsia="宋体" w:cs="Songti SC Regular"/>
        </w:rPr>
        <w:t>志愿服务证明：</w:t>
      </w:r>
      <w:bookmarkEnd w:id="285"/>
      <w:bookmarkEnd w:id="286"/>
    </w:p>
    <w:p w14:paraId="75D4B7A2">
      <w:pPr>
        <w:shd w:val="clear" w:color="auto" w:fill="FFFFFF"/>
        <w:spacing w:line="420" w:lineRule="atLeast"/>
        <w:rPr>
          <w:rFonts w:ascii="宋体" w:hAnsi="宋体" w:eastAsia="宋体" w:cs="Songti SC Regular"/>
        </w:rPr>
      </w:pPr>
      <w:r>
        <w:rPr>
          <w:rFonts w:hint="eastAsia" w:ascii="宋体" w:hAnsi="宋体" w:eastAsia="宋体" w:cs="Songti SC Regular"/>
        </w:rPr>
        <w:t xml:space="preserve">       志愿服务结束后，基金会应当及时为志愿者开具志愿服务记录证明。</w:t>
      </w:r>
    </w:p>
    <w:p w14:paraId="7C95C905">
      <w:pPr>
        <w:shd w:val="clear" w:color="auto" w:fill="FFFFFF"/>
        <w:spacing w:line="420" w:lineRule="atLeast"/>
        <w:rPr>
          <w:rFonts w:ascii="宋体" w:hAnsi="宋体" w:eastAsia="宋体" w:cs="Songti SC Regular"/>
        </w:rPr>
      </w:pPr>
    </w:p>
    <w:p w14:paraId="194DB8BC">
      <w:pPr>
        <w:pStyle w:val="38"/>
        <w:shd w:val="clear" w:color="auto" w:fill="FFFFFF"/>
        <w:spacing w:line="420" w:lineRule="atLeast"/>
        <w:ind w:left="0"/>
        <w:rPr>
          <w:rFonts w:ascii="宋体" w:hAnsi="宋体" w:eastAsia="宋体" w:cs="Songti SC Regular"/>
        </w:rPr>
      </w:pPr>
      <w:bookmarkStart w:id="287" w:name="_Toc998759353_WPSOffice_Level1"/>
      <w:bookmarkStart w:id="288" w:name="_Toc1040765151_WPSOffice_Level1"/>
      <w:r>
        <w:rPr>
          <w:rFonts w:ascii="宋体" w:hAnsi="宋体" w:eastAsia="宋体" w:cs="Songti SC Regular"/>
        </w:rPr>
        <w:t xml:space="preserve">第七条 </w:t>
      </w:r>
      <w:r>
        <w:rPr>
          <w:rFonts w:hint="eastAsia" w:ascii="宋体" w:hAnsi="宋体" w:eastAsia="宋体" w:cs="Songti SC Regular"/>
        </w:rPr>
        <w:t>志愿者待遇：</w:t>
      </w:r>
      <w:bookmarkEnd w:id="287"/>
      <w:bookmarkEnd w:id="288"/>
    </w:p>
    <w:p w14:paraId="55B4B7C6">
      <w:pPr>
        <w:pStyle w:val="38"/>
        <w:numPr>
          <w:ilvl w:val="0"/>
          <w:numId w:val="19"/>
        </w:numPr>
        <w:shd w:val="clear" w:color="auto" w:fill="FFFFFF"/>
        <w:spacing w:line="420" w:lineRule="atLeast"/>
        <w:rPr>
          <w:rFonts w:ascii="宋体" w:hAnsi="宋体" w:eastAsia="宋体" w:cs="Songti SC Regular"/>
        </w:rPr>
      </w:pPr>
      <w:r>
        <w:rPr>
          <w:rFonts w:hint="eastAsia" w:ascii="宋体" w:hAnsi="宋体" w:eastAsia="宋体" w:cs="Songti SC Regular"/>
        </w:rPr>
        <w:t>基金会应当为志愿者提供必要的工作条件及物资，以便志愿者顺利开展工作；</w:t>
      </w:r>
    </w:p>
    <w:p w14:paraId="10FAF89B">
      <w:pPr>
        <w:pStyle w:val="38"/>
        <w:numPr>
          <w:ilvl w:val="0"/>
          <w:numId w:val="19"/>
        </w:numPr>
        <w:shd w:val="clear" w:color="auto" w:fill="FFFFFF"/>
        <w:spacing w:line="420" w:lineRule="atLeast"/>
        <w:rPr>
          <w:rFonts w:ascii="宋体" w:hAnsi="宋体" w:eastAsia="宋体" w:cs="Songti SC Regular"/>
        </w:rPr>
      </w:pPr>
      <w:r>
        <w:rPr>
          <w:rFonts w:hint="eastAsia" w:ascii="宋体" w:hAnsi="宋体" w:eastAsia="宋体" w:cs="Songti SC Regular"/>
        </w:rPr>
        <w:t>基金会依据志愿者服务的内容和实际情况，为志愿者提供必要的服务补贴，如志愿者因从事志愿服务活动由本人支出的交通、误餐费等；长期提供志愿服务的志愿者，根据具体情况，可适当给予上述补贴；</w:t>
      </w:r>
    </w:p>
    <w:p w14:paraId="07200557">
      <w:pPr>
        <w:pStyle w:val="38"/>
        <w:numPr>
          <w:ilvl w:val="0"/>
          <w:numId w:val="19"/>
        </w:numPr>
        <w:shd w:val="clear" w:color="auto" w:fill="FFFFFF"/>
        <w:spacing w:line="420" w:lineRule="atLeast"/>
        <w:rPr>
          <w:rFonts w:ascii="宋体" w:hAnsi="宋体" w:eastAsia="宋体" w:cs="Songti SC Regular"/>
        </w:rPr>
      </w:pPr>
      <w:r>
        <w:rPr>
          <w:rFonts w:hint="eastAsia" w:ascii="宋体" w:hAnsi="宋体" w:eastAsia="宋体" w:cs="Songti SC Regular"/>
        </w:rPr>
        <w:t>基金会应当充分利用大众传播途径，宣传优秀志愿者，向社会传播正能量；对于做出杰出贡献的志愿者，将视具体情况予以表彰奖励。</w:t>
      </w:r>
    </w:p>
    <w:p w14:paraId="72798277">
      <w:pPr>
        <w:shd w:val="clear" w:color="auto" w:fill="FFFFFF"/>
        <w:spacing w:line="420" w:lineRule="atLeast"/>
        <w:rPr>
          <w:rFonts w:ascii="宋体" w:hAnsi="宋体" w:eastAsia="宋体" w:cs="Songti SC Regular"/>
        </w:rPr>
      </w:pPr>
    </w:p>
    <w:p w14:paraId="1B337F63">
      <w:pPr>
        <w:spacing w:before="156" w:beforeLines="50" w:after="156" w:afterLines="50" w:line="480" w:lineRule="exact"/>
        <w:rPr>
          <w:rFonts w:ascii="宋体" w:hAnsi="宋体" w:eastAsia="宋体"/>
        </w:rPr>
      </w:pPr>
      <w:bookmarkStart w:id="289" w:name="_Toc885588042_WPSOffice_Level1"/>
      <w:bookmarkStart w:id="290" w:name="_Toc1416260919_WPSOffice_Level1"/>
      <w:r>
        <w:rPr>
          <w:rFonts w:hint="eastAsia" w:ascii="宋体" w:hAnsi="宋体" w:eastAsia="宋体"/>
        </w:rPr>
        <w:t>第</w:t>
      </w:r>
      <w:r>
        <w:rPr>
          <w:rFonts w:ascii="宋体" w:hAnsi="宋体" w:eastAsia="宋体"/>
        </w:rPr>
        <w:t>八</w:t>
      </w:r>
      <w:r>
        <w:rPr>
          <w:rFonts w:hint="eastAsia" w:ascii="宋体" w:hAnsi="宋体" w:eastAsia="宋体"/>
        </w:rPr>
        <w:t>条</w:t>
      </w:r>
      <w:r>
        <w:rPr>
          <w:rFonts w:ascii="宋体" w:hAnsi="宋体" w:eastAsia="宋体"/>
        </w:rPr>
        <w:t xml:space="preserve">  </w:t>
      </w:r>
      <w:r>
        <w:rPr>
          <w:rFonts w:hint="eastAsia" w:ascii="宋体" w:hAnsi="宋体" w:eastAsia="宋体"/>
        </w:rPr>
        <w:t>本制度未尽事宜或与有关规定不一致的，按有关规定执行。</w:t>
      </w:r>
      <w:bookmarkEnd w:id="289"/>
      <w:bookmarkEnd w:id="290"/>
    </w:p>
    <w:p w14:paraId="2DBFC48A">
      <w:pPr>
        <w:numPr>
          <w:ilvl w:val="0"/>
          <w:numId w:val="20"/>
        </w:numPr>
        <w:spacing w:before="156" w:beforeLines="50" w:after="156" w:afterLines="50" w:line="480" w:lineRule="exact"/>
        <w:rPr>
          <w:rFonts w:ascii="宋体" w:hAnsi="宋体" w:eastAsia="宋体"/>
        </w:rPr>
      </w:pPr>
      <w:bookmarkStart w:id="291" w:name="_Toc2016548184_WPSOffice_Level1"/>
      <w:bookmarkStart w:id="292" w:name="_Toc388522285_WPSOffice_Level1"/>
      <w:r>
        <w:rPr>
          <w:rFonts w:hint="eastAsia" w:ascii="宋体" w:hAnsi="宋体" w:eastAsia="宋体"/>
        </w:rPr>
        <w:t>  本制度由理事会负责解释</w:t>
      </w:r>
      <w:r>
        <w:rPr>
          <w:rFonts w:ascii="宋体" w:hAnsi="宋体" w:eastAsia="宋体"/>
        </w:rPr>
        <w:t>。</w:t>
      </w:r>
      <w:bookmarkEnd w:id="291"/>
      <w:bookmarkEnd w:id="292"/>
    </w:p>
    <w:p w14:paraId="30E3B827">
      <w:pPr>
        <w:numPr>
          <w:ilvl w:val="0"/>
          <w:numId w:val="20"/>
        </w:numPr>
        <w:spacing w:before="156" w:beforeLines="50" w:after="156" w:afterLines="50" w:line="480" w:lineRule="exact"/>
        <w:rPr>
          <w:rFonts w:ascii="宋体" w:hAnsi="宋体" w:eastAsia="宋体" w:cs="Songti SC Regular"/>
        </w:rPr>
      </w:pPr>
      <w:bookmarkStart w:id="293" w:name="_Toc538411534_WPSOffice_Level1"/>
      <w:bookmarkStart w:id="294" w:name="_Toc1595607762_WPSOffice_Level1"/>
      <w:r>
        <w:rPr>
          <w:rFonts w:hint="eastAsia" w:ascii="宋体" w:hAnsi="宋体" w:eastAsia="宋体"/>
        </w:rPr>
        <w:t>  本制度自理事会审议通过后执行。</w:t>
      </w:r>
      <w:bookmarkEnd w:id="293"/>
      <w:bookmarkEnd w:id="294"/>
    </w:p>
    <w:p w14:paraId="2B1C77BA">
      <w:r>
        <w:br w:type="page"/>
      </w:r>
    </w:p>
    <w:p w14:paraId="7E29DFF3">
      <w:pPr>
        <w:jc w:val="center"/>
        <w:rPr>
          <w:rFonts w:ascii="宋体" w:hAnsi="宋体" w:eastAsia="宋体"/>
        </w:rPr>
      </w:pPr>
    </w:p>
    <w:p w14:paraId="27817520">
      <w:pPr>
        <w:pStyle w:val="2"/>
      </w:pPr>
      <w:bookmarkStart w:id="295" w:name="_Toc1751355845_WPSOffice_Level1"/>
      <w:bookmarkStart w:id="296" w:name="_Toc567792673"/>
      <w:bookmarkStart w:id="297" w:name="_Toc1390103457"/>
      <w:r>
        <w:t>北京中致儿童关爱</w:t>
      </w:r>
      <w:r>
        <w:rPr>
          <w:rFonts w:hint="eastAsia"/>
        </w:rPr>
        <w:t>基金会</w:t>
      </w:r>
      <w:bookmarkEnd w:id="295"/>
      <w:bookmarkEnd w:id="296"/>
      <w:bookmarkEnd w:id="297"/>
    </w:p>
    <w:p w14:paraId="2C770C3E">
      <w:pPr>
        <w:pStyle w:val="2"/>
      </w:pPr>
      <w:bookmarkStart w:id="298" w:name="_Toc1626821133_WPSOffice_Level1"/>
      <w:bookmarkStart w:id="299" w:name="_Toc2011452710_WPSOffice_Level1"/>
      <w:bookmarkStart w:id="300" w:name="_Toc1621611490"/>
      <w:bookmarkStart w:id="301" w:name="_Toc994206086"/>
      <w:r>
        <w:rPr>
          <w:rFonts w:hint="eastAsia"/>
        </w:rPr>
        <w:t>采购管理制度</w:t>
      </w:r>
      <w:bookmarkEnd w:id="298"/>
      <w:bookmarkEnd w:id="299"/>
      <w:bookmarkEnd w:id="300"/>
      <w:bookmarkEnd w:id="301"/>
    </w:p>
    <w:p w14:paraId="6E1D622A">
      <w:pPr>
        <w:jc w:val="center"/>
        <w:rPr>
          <w:rFonts w:ascii="宋体" w:hAnsi="宋体" w:eastAsia="宋体"/>
          <w:sz w:val="44"/>
          <w:szCs w:val="44"/>
        </w:rPr>
      </w:pPr>
    </w:p>
    <w:p w14:paraId="784BD592">
      <w:pPr>
        <w:jc w:val="left"/>
        <w:rPr>
          <w:rFonts w:ascii="宋体" w:hAnsi="宋体" w:eastAsia="宋体"/>
        </w:rPr>
      </w:pPr>
    </w:p>
    <w:p w14:paraId="104D4D09">
      <w:pPr>
        <w:jc w:val="center"/>
        <w:rPr>
          <w:rFonts w:ascii="宋体" w:hAnsi="宋体" w:eastAsia="宋体"/>
        </w:rPr>
      </w:pPr>
      <w:bookmarkStart w:id="302" w:name="_Toc798125896_WPSOffice_Level1"/>
      <w:bookmarkStart w:id="303" w:name="_Toc220988727_WPSOffice_Level1"/>
      <w:r>
        <w:rPr>
          <w:rFonts w:hint="eastAsia" w:ascii="宋体" w:hAnsi="宋体" w:eastAsia="宋体"/>
        </w:rPr>
        <w:t>第一章 总则</w:t>
      </w:r>
      <w:bookmarkEnd w:id="302"/>
      <w:bookmarkEnd w:id="303"/>
    </w:p>
    <w:p w14:paraId="009103A7">
      <w:pPr>
        <w:spacing w:line="520" w:lineRule="exact"/>
        <w:ind w:left="960" w:hanging="960" w:hangingChars="400"/>
        <w:jc w:val="left"/>
        <w:rPr>
          <w:rFonts w:ascii="宋体" w:hAnsi="宋体" w:eastAsia="宋体"/>
        </w:rPr>
      </w:pPr>
      <w:r>
        <w:rPr>
          <w:rFonts w:hint="eastAsia" w:ascii="宋体" w:hAnsi="宋体" w:eastAsia="宋体"/>
        </w:rPr>
        <w:t xml:space="preserve">第一条 </w:t>
      </w:r>
      <w:r>
        <w:rPr>
          <w:rFonts w:ascii="宋体" w:hAnsi="宋体" w:eastAsia="宋体"/>
        </w:rPr>
        <w:t xml:space="preserve"> </w:t>
      </w:r>
      <w:r>
        <w:rPr>
          <w:rFonts w:hint="eastAsia" w:ascii="宋体" w:hAnsi="宋体" w:eastAsia="宋体"/>
        </w:rPr>
        <w:t>为了规范基金会采购的管理，确保机构采购的物资和服务性价比最优，同时保障项目高效、规范运作，特制定本制度。</w:t>
      </w:r>
    </w:p>
    <w:p w14:paraId="5645C5AE">
      <w:pPr>
        <w:spacing w:line="520" w:lineRule="exact"/>
        <w:ind w:left="960" w:hanging="960" w:hangingChars="400"/>
        <w:jc w:val="left"/>
        <w:rPr>
          <w:rFonts w:ascii="宋体" w:hAnsi="宋体" w:eastAsia="宋体"/>
        </w:rPr>
      </w:pPr>
      <w:r>
        <w:rPr>
          <w:rFonts w:hint="eastAsia" w:ascii="宋体" w:hAnsi="宋体" w:eastAsia="宋体"/>
        </w:rPr>
        <w:t xml:space="preserve">第二条 </w:t>
      </w:r>
      <w:r>
        <w:rPr>
          <w:rFonts w:ascii="宋体" w:hAnsi="宋体" w:eastAsia="宋体"/>
        </w:rPr>
        <w:t xml:space="preserve"> </w:t>
      </w:r>
      <w:r>
        <w:rPr>
          <w:rFonts w:hint="eastAsia" w:ascii="宋体" w:hAnsi="宋体" w:eastAsia="宋体"/>
        </w:rPr>
        <w:t>本制度适用于基金会日常办公和项目执行所涉及的物资和服务类采购。</w:t>
      </w:r>
    </w:p>
    <w:p w14:paraId="4DBD7DE7">
      <w:pPr>
        <w:spacing w:line="520" w:lineRule="exact"/>
        <w:ind w:left="960" w:hanging="960" w:hangingChars="400"/>
        <w:jc w:val="left"/>
        <w:rPr>
          <w:rFonts w:ascii="宋体" w:hAnsi="宋体" w:eastAsia="宋体"/>
        </w:rPr>
      </w:pPr>
      <w:r>
        <w:rPr>
          <w:rFonts w:hint="eastAsia" w:ascii="宋体" w:hAnsi="宋体" w:eastAsia="宋体"/>
        </w:rPr>
        <w:t xml:space="preserve">第三条 </w:t>
      </w:r>
      <w:r>
        <w:rPr>
          <w:rFonts w:ascii="宋体" w:hAnsi="宋体" w:eastAsia="宋体"/>
        </w:rPr>
        <w:t xml:space="preserve"> </w:t>
      </w:r>
      <w:r>
        <w:rPr>
          <w:rFonts w:hint="eastAsia" w:ascii="宋体" w:hAnsi="宋体" w:eastAsia="宋体"/>
        </w:rPr>
        <w:t>采购应遵循的原则：</w:t>
      </w:r>
    </w:p>
    <w:p w14:paraId="7993D61D">
      <w:pPr>
        <w:spacing w:line="520" w:lineRule="exact"/>
        <w:ind w:left="960" w:leftChars="400"/>
        <w:jc w:val="left"/>
        <w:rPr>
          <w:rFonts w:ascii="宋体" w:hAnsi="宋体" w:eastAsia="宋体"/>
        </w:rPr>
      </w:pPr>
      <w:r>
        <w:rPr>
          <w:rFonts w:hint="eastAsia" w:ascii="宋体" w:hAnsi="宋体" w:eastAsia="宋体"/>
        </w:rPr>
        <w:t>（一）性价比最优；</w:t>
      </w:r>
    </w:p>
    <w:p w14:paraId="378A1683">
      <w:pPr>
        <w:spacing w:line="520" w:lineRule="exact"/>
        <w:ind w:left="960" w:leftChars="400"/>
        <w:jc w:val="left"/>
        <w:rPr>
          <w:rFonts w:ascii="宋体" w:hAnsi="宋体" w:eastAsia="宋体"/>
        </w:rPr>
      </w:pPr>
      <w:r>
        <w:rPr>
          <w:rFonts w:hint="eastAsia" w:ascii="宋体" w:hAnsi="宋体" w:eastAsia="宋体"/>
        </w:rPr>
        <w:t>（二）公开、公正、公平；</w:t>
      </w:r>
    </w:p>
    <w:p w14:paraId="478E82B8">
      <w:pPr>
        <w:spacing w:line="520" w:lineRule="exact"/>
        <w:ind w:left="960" w:leftChars="400"/>
        <w:jc w:val="left"/>
        <w:rPr>
          <w:rFonts w:ascii="宋体" w:hAnsi="宋体" w:eastAsia="宋体"/>
        </w:rPr>
      </w:pPr>
      <w:r>
        <w:rPr>
          <w:rFonts w:hint="eastAsia" w:ascii="宋体" w:hAnsi="宋体" w:eastAsia="宋体"/>
        </w:rPr>
        <w:t>（三）动态管理，定期评估；</w:t>
      </w:r>
    </w:p>
    <w:p w14:paraId="4139B299">
      <w:pPr>
        <w:spacing w:line="520" w:lineRule="exact"/>
        <w:ind w:left="960" w:leftChars="400"/>
        <w:jc w:val="left"/>
        <w:rPr>
          <w:rFonts w:ascii="宋体" w:hAnsi="宋体" w:eastAsia="宋体"/>
        </w:rPr>
      </w:pPr>
      <w:r>
        <w:rPr>
          <w:rFonts w:hint="eastAsia" w:ascii="宋体" w:hAnsi="宋体" w:eastAsia="宋体"/>
        </w:rPr>
        <w:t>（四）不得损害基金会、受益人的利益和社会公共利益。</w:t>
      </w:r>
    </w:p>
    <w:p w14:paraId="5D8564AF">
      <w:pPr>
        <w:spacing w:line="520" w:lineRule="exact"/>
        <w:ind w:left="960" w:leftChars="400"/>
        <w:jc w:val="left"/>
        <w:rPr>
          <w:rFonts w:ascii="宋体" w:hAnsi="宋体" w:eastAsia="宋体"/>
        </w:rPr>
      </w:pPr>
    </w:p>
    <w:p w14:paraId="617463E4">
      <w:pPr>
        <w:spacing w:line="520" w:lineRule="exact"/>
        <w:ind w:left="960" w:leftChars="400"/>
        <w:jc w:val="center"/>
        <w:rPr>
          <w:rFonts w:ascii="宋体" w:hAnsi="宋体" w:eastAsia="宋体"/>
        </w:rPr>
      </w:pPr>
      <w:bookmarkStart w:id="304" w:name="_Toc919074910_WPSOffice_Level1"/>
      <w:bookmarkStart w:id="305" w:name="_Toc1158309026_WPSOffice_Level1"/>
      <w:r>
        <w:rPr>
          <w:rFonts w:hint="eastAsia" w:ascii="宋体" w:hAnsi="宋体" w:eastAsia="宋体"/>
        </w:rPr>
        <w:t>第二章 供应商选择</w:t>
      </w:r>
      <w:bookmarkEnd w:id="304"/>
      <w:bookmarkEnd w:id="305"/>
    </w:p>
    <w:p w14:paraId="49290542">
      <w:pPr>
        <w:spacing w:line="520" w:lineRule="exact"/>
        <w:ind w:left="960" w:hanging="960" w:hangingChars="400"/>
        <w:jc w:val="left"/>
        <w:rPr>
          <w:rFonts w:ascii="宋体" w:hAnsi="宋体" w:eastAsia="宋体"/>
        </w:rPr>
      </w:pPr>
      <w:r>
        <w:rPr>
          <w:rFonts w:hint="eastAsia" w:ascii="宋体" w:hAnsi="宋体" w:eastAsia="宋体"/>
        </w:rPr>
        <w:t xml:space="preserve">第四条 </w:t>
      </w:r>
      <w:r>
        <w:rPr>
          <w:rFonts w:ascii="宋体" w:hAnsi="宋体" w:eastAsia="宋体"/>
        </w:rPr>
        <w:t xml:space="preserve"> </w:t>
      </w:r>
      <w:r>
        <w:rPr>
          <w:rFonts w:hint="eastAsia" w:ascii="宋体" w:hAnsi="宋体" w:eastAsia="宋体"/>
        </w:rPr>
        <w:t>供应商分为战略供应商和一般供应商两类。战略供应商为签署了年度战略合作协议的供应商，一般供应商为临时供应商。经办部门根据项目工作实际需求优先选择战略供应商。若战略供应商确实无法满足工作需要，经</w:t>
      </w:r>
      <w:r>
        <w:rPr>
          <w:rFonts w:ascii="宋体" w:hAnsi="宋体" w:eastAsia="宋体"/>
        </w:rPr>
        <w:t>理事长</w:t>
      </w:r>
      <w:r>
        <w:rPr>
          <w:rFonts w:hint="eastAsia" w:ascii="宋体" w:hAnsi="宋体" w:eastAsia="宋体"/>
        </w:rPr>
        <w:t>批准，可另行选择一般供应商。</w:t>
      </w:r>
    </w:p>
    <w:p w14:paraId="45BB903D">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（一）供应商的采购方式：</w:t>
      </w:r>
    </w:p>
    <w:p w14:paraId="47995724">
      <w:pPr>
        <w:spacing w:line="520" w:lineRule="exact"/>
        <w:ind w:left="960" w:hanging="960" w:hangingChars="400"/>
        <w:jc w:val="left"/>
        <w:rPr>
          <w:rFonts w:ascii="宋体" w:hAnsi="宋体" w:eastAsia="宋体"/>
        </w:rPr>
      </w:pPr>
      <w:r>
        <w:rPr>
          <w:rFonts w:ascii="宋体" w:hAnsi="宋体" w:eastAsia="宋体"/>
        </w:rPr>
        <w:t xml:space="preserve">        </w:t>
      </w:r>
      <w:r>
        <w:rPr>
          <w:rFonts w:hint="eastAsia" w:ascii="宋体" w:hAnsi="宋体" w:eastAsia="宋体"/>
        </w:rPr>
        <w:t>基于市场价格的三方比价、定制化三方比价、单一来源采购、竞争性谈判、公开招标。</w:t>
      </w:r>
    </w:p>
    <w:p w14:paraId="60B0D7E4">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（二）战略供应商的确定：</w:t>
      </w:r>
    </w:p>
    <w:p w14:paraId="7B574188">
      <w:pPr>
        <w:spacing w:line="520" w:lineRule="exact"/>
        <w:ind w:left="960" w:hanging="960" w:hangingChars="400"/>
        <w:jc w:val="left"/>
        <w:rPr>
          <w:rFonts w:ascii="宋体" w:hAnsi="宋体" w:eastAsia="宋体"/>
        </w:rPr>
      </w:pPr>
      <w:r>
        <w:rPr>
          <w:rFonts w:ascii="宋体" w:hAnsi="宋体" w:eastAsia="宋体"/>
        </w:rPr>
        <w:t xml:space="preserve">       1.</w:t>
      </w:r>
      <w:r>
        <w:rPr>
          <w:rFonts w:hint="eastAsia" w:ascii="宋体" w:hAnsi="宋体" w:eastAsia="宋体"/>
        </w:rPr>
        <w:t>战略供应商（包含采购物品、采购服务等）的确定：</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4148"/>
      </w:tblGrid>
      <w:tr w14:paraId="4052CD55">
        <w:trPr>
          <w:jc w:val="center"/>
        </w:trPr>
        <w:tc>
          <w:tcPr>
            <w:tcW w:w="3019" w:type="dxa"/>
            <w:vAlign w:val="center"/>
          </w:tcPr>
          <w:p w14:paraId="5D79FA56">
            <w:pPr>
              <w:spacing w:line="400" w:lineRule="exact"/>
              <w:jc w:val="left"/>
              <w:rPr>
                <w:rFonts w:ascii="宋体" w:hAnsi="宋体" w:eastAsia="宋体"/>
              </w:rPr>
            </w:pPr>
            <w:r>
              <w:rPr>
                <w:rFonts w:hint="eastAsia" w:ascii="宋体" w:hAnsi="宋体" w:eastAsia="宋体"/>
              </w:rPr>
              <w:t>年度发生总金额</w:t>
            </w:r>
          </w:p>
        </w:tc>
        <w:tc>
          <w:tcPr>
            <w:tcW w:w="4148" w:type="dxa"/>
            <w:vAlign w:val="center"/>
          </w:tcPr>
          <w:p w14:paraId="2B859FDE">
            <w:pPr>
              <w:spacing w:line="400" w:lineRule="exact"/>
              <w:jc w:val="left"/>
              <w:rPr>
                <w:rFonts w:ascii="宋体" w:hAnsi="宋体" w:eastAsia="宋体"/>
              </w:rPr>
            </w:pPr>
            <w:r>
              <w:rPr>
                <w:rFonts w:hint="eastAsia" w:ascii="宋体" w:hAnsi="宋体" w:eastAsia="宋体"/>
              </w:rPr>
              <w:t>采购方式</w:t>
            </w:r>
          </w:p>
        </w:tc>
      </w:tr>
      <w:tr w14:paraId="16CC0480">
        <w:trPr>
          <w:jc w:val="center"/>
        </w:trPr>
        <w:tc>
          <w:tcPr>
            <w:tcW w:w="3019" w:type="dxa"/>
            <w:vAlign w:val="center"/>
          </w:tcPr>
          <w:p w14:paraId="439C0CDF">
            <w:pPr>
              <w:spacing w:line="400" w:lineRule="exact"/>
              <w:jc w:val="left"/>
              <w:rPr>
                <w:rFonts w:ascii="宋体" w:hAnsi="宋体" w:eastAsia="宋体"/>
              </w:rPr>
            </w:pPr>
            <w:r>
              <w:rPr>
                <w:rFonts w:ascii="宋体" w:hAnsi="宋体" w:eastAsia="宋体"/>
              </w:rPr>
              <w:t>5</w:t>
            </w:r>
            <w:r>
              <w:rPr>
                <w:rFonts w:hint="eastAsia" w:ascii="宋体" w:hAnsi="宋体" w:eastAsia="宋体"/>
              </w:rPr>
              <w:t>万元-</w:t>
            </w:r>
            <w:r>
              <w:rPr>
                <w:rFonts w:ascii="宋体" w:hAnsi="宋体" w:eastAsia="宋体"/>
              </w:rPr>
              <w:t>20</w:t>
            </w:r>
            <w:r>
              <w:rPr>
                <w:rFonts w:hint="eastAsia" w:ascii="宋体" w:hAnsi="宋体" w:eastAsia="宋体"/>
              </w:rPr>
              <w:t>（含）万元</w:t>
            </w:r>
          </w:p>
        </w:tc>
        <w:tc>
          <w:tcPr>
            <w:tcW w:w="4148" w:type="dxa"/>
            <w:vAlign w:val="center"/>
          </w:tcPr>
          <w:p w14:paraId="54A69C6E">
            <w:pPr>
              <w:spacing w:line="400" w:lineRule="exact"/>
              <w:jc w:val="left"/>
              <w:rPr>
                <w:rFonts w:ascii="宋体" w:hAnsi="宋体" w:eastAsia="宋体"/>
              </w:rPr>
            </w:pPr>
            <w:r>
              <w:rPr>
                <w:rFonts w:hint="eastAsia" w:ascii="宋体" w:hAnsi="宋体" w:eastAsia="宋体"/>
              </w:rPr>
              <w:t>基于针对采购需求定制化报价的三方比价</w:t>
            </w:r>
          </w:p>
        </w:tc>
      </w:tr>
      <w:tr w14:paraId="3843B3E8">
        <w:trPr>
          <w:jc w:val="center"/>
        </w:trPr>
        <w:tc>
          <w:tcPr>
            <w:tcW w:w="3019" w:type="dxa"/>
            <w:vAlign w:val="center"/>
          </w:tcPr>
          <w:p w14:paraId="2BD5627E">
            <w:pPr>
              <w:spacing w:line="400" w:lineRule="exact"/>
              <w:jc w:val="left"/>
              <w:rPr>
                <w:rFonts w:ascii="宋体" w:hAnsi="宋体" w:eastAsia="宋体"/>
              </w:rPr>
            </w:pPr>
            <w:r>
              <w:rPr>
                <w:rFonts w:hint="eastAsia" w:ascii="宋体" w:hAnsi="宋体" w:eastAsia="宋体"/>
              </w:rPr>
              <w:t>2</w:t>
            </w:r>
            <w:r>
              <w:rPr>
                <w:rFonts w:ascii="宋体" w:hAnsi="宋体" w:eastAsia="宋体"/>
              </w:rPr>
              <w:t>0</w:t>
            </w:r>
            <w:r>
              <w:rPr>
                <w:rFonts w:hint="eastAsia" w:ascii="宋体" w:hAnsi="宋体" w:eastAsia="宋体"/>
              </w:rPr>
              <w:t>万元-</w:t>
            </w:r>
            <w:r>
              <w:rPr>
                <w:rFonts w:ascii="宋体" w:hAnsi="宋体" w:eastAsia="宋体"/>
              </w:rPr>
              <w:t>100</w:t>
            </w:r>
            <w:r>
              <w:rPr>
                <w:rFonts w:hint="eastAsia" w:ascii="宋体" w:hAnsi="宋体" w:eastAsia="宋体"/>
              </w:rPr>
              <w:t>（含）万元</w:t>
            </w:r>
          </w:p>
        </w:tc>
        <w:tc>
          <w:tcPr>
            <w:tcW w:w="4148" w:type="dxa"/>
            <w:vAlign w:val="center"/>
          </w:tcPr>
          <w:p w14:paraId="343033E5">
            <w:pPr>
              <w:spacing w:line="400" w:lineRule="exact"/>
              <w:jc w:val="left"/>
              <w:rPr>
                <w:rFonts w:ascii="宋体" w:hAnsi="宋体" w:eastAsia="宋体"/>
              </w:rPr>
            </w:pPr>
            <w:r>
              <w:rPr>
                <w:rFonts w:hint="eastAsia" w:ascii="宋体" w:hAnsi="宋体" w:eastAsia="宋体"/>
              </w:rPr>
              <w:t>竞争性谈判</w:t>
            </w:r>
          </w:p>
        </w:tc>
      </w:tr>
      <w:tr w14:paraId="41A1CAD3">
        <w:trPr>
          <w:jc w:val="center"/>
        </w:trPr>
        <w:tc>
          <w:tcPr>
            <w:tcW w:w="3019" w:type="dxa"/>
            <w:vAlign w:val="center"/>
          </w:tcPr>
          <w:p w14:paraId="18598B59">
            <w:pPr>
              <w:spacing w:line="400" w:lineRule="exact"/>
              <w:jc w:val="left"/>
              <w:rPr>
                <w:rFonts w:ascii="宋体" w:hAnsi="宋体" w:eastAsia="宋体"/>
              </w:rPr>
            </w:pPr>
            <w:r>
              <w:rPr>
                <w:rFonts w:ascii="宋体" w:hAnsi="宋体" w:eastAsia="宋体"/>
              </w:rPr>
              <w:t>100</w:t>
            </w:r>
            <w:r>
              <w:rPr>
                <w:rFonts w:hint="eastAsia" w:ascii="宋体" w:hAnsi="宋体" w:eastAsia="宋体"/>
              </w:rPr>
              <w:t>万元以上</w:t>
            </w:r>
          </w:p>
        </w:tc>
        <w:tc>
          <w:tcPr>
            <w:tcW w:w="4148" w:type="dxa"/>
            <w:vAlign w:val="center"/>
          </w:tcPr>
          <w:p w14:paraId="3E43946C">
            <w:pPr>
              <w:spacing w:line="400" w:lineRule="exact"/>
              <w:jc w:val="left"/>
              <w:rPr>
                <w:rFonts w:ascii="宋体" w:hAnsi="宋体" w:eastAsia="宋体"/>
              </w:rPr>
            </w:pPr>
            <w:r>
              <w:rPr>
                <w:rFonts w:hint="eastAsia" w:ascii="宋体" w:hAnsi="宋体" w:eastAsia="宋体"/>
              </w:rPr>
              <w:t>公开招标</w:t>
            </w:r>
          </w:p>
        </w:tc>
      </w:tr>
    </w:tbl>
    <w:p w14:paraId="76EEE773">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2.</w:t>
      </w:r>
      <w:r>
        <w:rPr>
          <w:rFonts w:hint="eastAsia" w:ascii="宋体" w:hAnsi="宋体" w:eastAsia="宋体"/>
        </w:rPr>
        <w:t>单一来源采购供应商的评判标准：</w:t>
      </w:r>
    </w:p>
    <w:p w14:paraId="46322F12">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a.</w:t>
      </w:r>
      <w:r>
        <w:rPr>
          <w:rFonts w:hint="eastAsia" w:ascii="宋体" w:hAnsi="宋体" w:eastAsia="宋体"/>
        </w:rPr>
        <w:t>只能从特定供应商处采购，或因供应商拥有专利权，其他商家无法代替的；</w:t>
      </w:r>
    </w:p>
    <w:p w14:paraId="0E44AEF7">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b.</w:t>
      </w:r>
      <w:r>
        <w:rPr>
          <w:rFonts w:hint="eastAsia" w:ascii="宋体" w:hAnsi="宋体" w:eastAsia="宋体"/>
        </w:rPr>
        <w:t>在用的设备后继维修或扩展功能所需的零配件，必须向原供应厂商购买的；</w:t>
      </w:r>
    </w:p>
    <w:p w14:paraId="7BF90302">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c.</w:t>
      </w:r>
      <w:r>
        <w:rPr>
          <w:rFonts w:hint="eastAsia" w:ascii="宋体" w:hAnsi="宋体" w:eastAsia="宋体"/>
        </w:rPr>
        <w:t>原招标合同的后继补充订货；</w:t>
      </w:r>
    </w:p>
    <w:p w14:paraId="1AF5564B">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d</w:t>
      </w:r>
      <w:r>
        <w:rPr>
          <w:rFonts w:ascii="宋体" w:hAnsi="宋体" w:eastAsia="宋体"/>
        </w:rPr>
        <w:t>.</w:t>
      </w:r>
      <w:r>
        <w:rPr>
          <w:rFonts w:hint="eastAsia" w:ascii="宋体" w:hAnsi="宋体" w:eastAsia="宋体"/>
        </w:rPr>
        <w:t>合作伙伴申请的项目已有1年及以上稳定的供货渠道，需要将供货渠道的采购方式和采购流程进行书面说明，并提供相关采购过程中的资料，经基金会秘书处审核通过后可采用。</w:t>
      </w:r>
    </w:p>
    <w:p w14:paraId="50FC4ABF">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（三）战略供应商的签署</w:t>
      </w:r>
    </w:p>
    <w:p w14:paraId="79CC5082">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为了提高采购效率，节约采购成本，采购需求量较大且使用周期长的项目优先选择战略供应商，经过上述方式确定合作战略供应商，并签署年度合作协议。</w:t>
      </w:r>
    </w:p>
    <w:p w14:paraId="2E39843D">
      <w:pPr>
        <w:spacing w:line="520" w:lineRule="exact"/>
        <w:ind w:left="960" w:hanging="960" w:hangingChars="400"/>
        <w:jc w:val="left"/>
        <w:rPr>
          <w:rFonts w:ascii="宋体" w:hAnsi="宋体" w:eastAsia="宋体"/>
        </w:rPr>
      </w:pPr>
      <w:r>
        <w:rPr>
          <w:rFonts w:ascii="宋体" w:hAnsi="宋体" w:eastAsia="宋体"/>
        </w:rPr>
        <w:t xml:space="preserve">        </w:t>
      </w:r>
      <w:r>
        <w:rPr>
          <w:rFonts w:hint="eastAsia" w:ascii="宋体" w:hAnsi="宋体" w:eastAsia="宋体"/>
        </w:rPr>
        <w:t>此类年度合作的战略供应商，在协议签订后，可用该协议支付该年度所有协议内规定的所有内容的采购，每次付款前供应商须向基金会提供付款明细单和发票等相关文件。</w:t>
      </w:r>
    </w:p>
    <w:p w14:paraId="6F92D91F">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续订年度合作协议的，应在战略供应商年度综合评定合格后再次续签。</w:t>
      </w:r>
    </w:p>
    <w:p w14:paraId="6FA0669B">
      <w:pPr>
        <w:spacing w:line="520" w:lineRule="exact"/>
        <w:ind w:left="960" w:hanging="960" w:hangingChars="400"/>
        <w:jc w:val="left"/>
        <w:rPr>
          <w:rFonts w:ascii="宋体" w:hAnsi="宋体" w:eastAsia="宋体"/>
        </w:rPr>
      </w:pPr>
      <w:r>
        <w:rPr>
          <w:rFonts w:hint="eastAsia" w:ascii="宋体" w:hAnsi="宋体" w:eastAsia="宋体"/>
        </w:rPr>
        <w:t xml:space="preserve">第五条 </w:t>
      </w:r>
      <w:r>
        <w:rPr>
          <w:rFonts w:ascii="宋体" w:hAnsi="宋体" w:eastAsia="宋体"/>
        </w:rPr>
        <w:t xml:space="preserve"> </w:t>
      </w:r>
      <w:r>
        <w:rPr>
          <w:rFonts w:hint="eastAsia" w:ascii="宋体" w:hAnsi="宋体" w:eastAsia="宋体"/>
        </w:rPr>
        <w:t>供应商应为经合法登记注册的组织或具有某一方面专业技能的个人。</w:t>
      </w:r>
    </w:p>
    <w:p w14:paraId="778D3B52">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（一）合法登记注册的法人主体，应具备下列条件：</w:t>
      </w:r>
    </w:p>
    <w:p w14:paraId="0029B21A">
      <w:pPr>
        <w:spacing w:line="520" w:lineRule="exact"/>
        <w:ind w:firstLine="960" w:firstLineChars="400"/>
        <w:jc w:val="left"/>
        <w:rPr>
          <w:rFonts w:ascii="宋体" w:hAnsi="宋体" w:eastAsia="宋体"/>
        </w:rPr>
      </w:pPr>
      <w:r>
        <w:rPr>
          <w:rFonts w:hint="eastAsia" w:ascii="宋体" w:hAnsi="宋体" w:eastAsia="宋体"/>
        </w:rPr>
        <w:t>1.具有独立承担民事责任的能力；</w:t>
      </w:r>
    </w:p>
    <w:p w14:paraId="5AA245EB">
      <w:pPr>
        <w:spacing w:line="520" w:lineRule="exact"/>
        <w:jc w:val="left"/>
        <w:rPr>
          <w:rFonts w:ascii="宋体" w:hAnsi="宋体" w:eastAsia="宋体"/>
        </w:rPr>
      </w:pPr>
      <w:r>
        <w:rPr>
          <w:rFonts w:ascii="宋体" w:hAnsi="宋体" w:eastAsia="宋体"/>
        </w:rPr>
        <w:t xml:space="preserve">        </w:t>
      </w:r>
      <w:r>
        <w:rPr>
          <w:rFonts w:hint="eastAsia" w:ascii="宋体" w:hAnsi="宋体" w:eastAsia="宋体"/>
        </w:rPr>
        <w:t>2.具有良好的商业信誉或社会公信力；</w:t>
      </w:r>
    </w:p>
    <w:p w14:paraId="1E61243D">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3.具有履行合同所必需的设备和专业技术能力；</w:t>
      </w:r>
    </w:p>
    <w:p w14:paraId="0FB7EE30">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4.具有依法纳税的良好记录；</w:t>
      </w:r>
    </w:p>
    <w:p w14:paraId="1E39597E">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5.无失信记录。</w:t>
      </w:r>
    </w:p>
    <w:p w14:paraId="192AF724">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（二）个人供应商应具备下列条件：</w:t>
      </w:r>
    </w:p>
    <w:p w14:paraId="2057D4AE">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1.具有独立承担民事责任的能力；</w:t>
      </w:r>
    </w:p>
    <w:p w14:paraId="6486DE51">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2.具有履行合同所必需的设备和专业技能；</w:t>
      </w:r>
    </w:p>
    <w:p w14:paraId="250BB1BA">
      <w:pPr>
        <w:spacing w:line="520" w:lineRule="exact"/>
        <w:ind w:firstLine="960" w:firstLineChars="400"/>
        <w:jc w:val="left"/>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无失信记录。</w:t>
      </w:r>
    </w:p>
    <w:p w14:paraId="4CAE006A">
      <w:pPr>
        <w:widowControl/>
        <w:jc w:val="left"/>
        <w:rPr>
          <w:rFonts w:ascii="宋体" w:hAnsi="宋体" w:eastAsia="宋体"/>
        </w:rPr>
      </w:pPr>
    </w:p>
    <w:p w14:paraId="4A52C62A">
      <w:pPr>
        <w:widowControl/>
        <w:jc w:val="left"/>
        <w:rPr>
          <w:rFonts w:ascii="宋体" w:hAnsi="宋体" w:eastAsia="宋体"/>
        </w:rPr>
      </w:pPr>
      <w:r>
        <w:rPr>
          <w:rFonts w:hint="eastAsia" w:ascii="宋体" w:hAnsi="宋体" w:eastAsia="宋体"/>
        </w:rPr>
        <w:t xml:space="preserve">第六条 </w:t>
      </w:r>
      <w:r>
        <w:rPr>
          <w:rFonts w:ascii="宋体" w:hAnsi="宋体" w:eastAsia="宋体"/>
        </w:rPr>
        <w:t xml:space="preserve"> </w:t>
      </w:r>
      <w:r>
        <w:rPr>
          <w:rFonts w:hint="eastAsia" w:ascii="宋体" w:hAnsi="宋体" w:eastAsia="宋体"/>
        </w:rPr>
        <w:t>采购及供应商选择程序</w:t>
      </w:r>
    </w:p>
    <w:p w14:paraId="6489030F">
      <w:pPr>
        <w:widowControl/>
        <w:jc w:val="left"/>
        <w:rPr>
          <w:rFonts w:ascii="宋体" w:hAnsi="宋体" w:eastAsia="宋体"/>
        </w:rPr>
      </w:pPr>
    </w:p>
    <w:p w14:paraId="7747536D">
      <w:pPr>
        <w:spacing w:line="520" w:lineRule="exact"/>
        <w:jc w:val="left"/>
        <w:rPr>
          <w:rFonts w:ascii="宋体" w:hAnsi="宋体" w:eastAsia="宋体"/>
        </w:rPr>
      </w:pPr>
      <w:r>
        <w:rPr>
          <w:rFonts w:hint="eastAsia" w:ascii="宋体" w:hAnsi="宋体" w:eastAsia="宋体"/>
        </w:rPr>
        <w:t>（一）采购固定资产、低值易耗品及员工福利等</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874"/>
        <w:gridCol w:w="81"/>
        <w:gridCol w:w="2794"/>
      </w:tblGrid>
      <w:tr w14:paraId="57117B0F">
        <w:trPr>
          <w:jc w:val="center"/>
        </w:trPr>
        <w:tc>
          <w:tcPr>
            <w:tcW w:w="2547" w:type="dxa"/>
            <w:vAlign w:val="center"/>
          </w:tcPr>
          <w:p w14:paraId="06587BE8">
            <w:pPr>
              <w:spacing w:line="520" w:lineRule="exact"/>
              <w:jc w:val="left"/>
              <w:rPr>
                <w:rFonts w:ascii="宋体" w:hAnsi="宋体" w:eastAsia="宋体"/>
              </w:rPr>
            </w:pPr>
            <w:r>
              <w:rPr>
                <w:rFonts w:hint="eastAsia" w:ascii="宋体" w:hAnsi="宋体" w:eastAsia="宋体"/>
              </w:rPr>
              <w:t>金额</w:t>
            </w:r>
          </w:p>
        </w:tc>
        <w:tc>
          <w:tcPr>
            <w:tcW w:w="2874" w:type="dxa"/>
          </w:tcPr>
          <w:p w14:paraId="0B9617C6">
            <w:pPr>
              <w:spacing w:line="520" w:lineRule="exact"/>
              <w:jc w:val="left"/>
              <w:rPr>
                <w:rFonts w:ascii="宋体" w:hAnsi="宋体" w:eastAsia="宋体"/>
              </w:rPr>
            </w:pPr>
            <w:r>
              <w:rPr>
                <w:rFonts w:hint="eastAsia" w:ascii="宋体" w:hAnsi="宋体" w:eastAsia="宋体"/>
              </w:rPr>
              <w:t>一般供应商</w:t>
            </w:r>
          </w:p>
        </w:tc>
        <w:tc>
          <w:tcPr>
            <w:tcW w:w="2875" w:type="dxa"/>
            <w:gridSpan w:val="2"/>
          </w:tcPr>
          <w:p w14:paraId="181ACC04">
            <w:pPr>
              <w:spacing w:line="520" w:lineRule="exact"/>
              <w:jc w:val="left"/>
              <w:rPr>
                <w:rFonts w:ascii="宋体" w:hAnsi="宋体" w:eastAsia="宋体"/>
              </w:rPr>
            </w:pPr>
            <w:r>
              <w:rPr>
                <w:rFonts w:hint="eastAsia" w:ascii="宋体" w:hAnsi="宋体" w:eastAsia="宋体"/>
              </w:rPr>
              <w:t>战略供应商</w:t>
            </w:r>
          </w:p>
        </w:tc>
      </w:tr>
      <w:tr w14:paraId="65CC0951">
        <w:trPr>
          <w:jc w:val="center"/>
        </w:trPr>
        <w:tc>
          <w:tcPr>
            <w:tcW w:w="2547" w:type="dxa"/>
            <w:vAlign w:val="center"/>
          </w:tcPr>
          <w:p w14:paraId="54AAE4D6">
            <w:pPr>
              <w:spacing w:line="520" w:lineRule="exact"/>
              <w:jc w:val="left"/>
              <w:rPr>
                <w:rFonts w:ascii="宋体" w:hAnsi="宋体" w:eastAsia="宋体"/>
              </w:rPr>
            </w:pPr>
            <w:r>
              <w:rPr>
                <w:rFonts w:hint="eastAsia" w:ascii="宋体" w:hAnsi="宋体" w:eastAsia="宋体"/>
              </w:rPr>
              <w:t>5千（含）元以下</w:t>
            </w:r>
          </w:p>
        </w:tc>
        <w:tc>
          <w:tcPr>
            <w:tcW w:w="5749" w:type="dxa"/>
            <w:gridSpan w:val="3"/>
          </w:tcPr>
          <w:p w14:paraId="3B19BF48">
            <w:pPr>
              <w:spacing w:line="400" w:lineRule="exact"/>
              <w:jc w:val="left"/>
              <w:rPr>
                <w:rFonts w:ascii="宋体" w:hAnsi="宋体" w:eastAsia="宋体"/>
              </w:rPr>
            </w:pPr>
            <w:r>
              <w:rPr>
                <w:rFonts w:hint="eastAsia" w:ascii="宋体" w:hAnsi="宋体" w:eastAsia="宋体"/>
              </w:rPr>
              <w:t>无需进行比价，但价格不能高于市场价格；优先选择战略供应商</w:t>
            </w:r>
          </w:p>
        </w:tc>
      </w:tr>
      <w:tr w14:paraId="6790B265">
        <w:trPr>
          <w:jc w:val="center"/>
        </w:trPr>
        <w:tc>
          <w:tcPr>
            <w:tcW w:w="2547" w:type="dxa"/>
            <w:vAlign w:val="center"/>
          </w:tcPr>
          <w:p w14:paraId="5F8E524C">
            <w:pPr>
              <w:spacing w:line="400" w:lineRule="exact"/>
              <w:jc w:val="left"/>
              <w:rPr>
                <w:rFonts w:ascii="宋体" w:hAnsi="宋体" w:eastAsia="宋体"/>
              </w:rPr>
            </w:pPr>
            <w:r>
              <w:rPr>
                <w:rFonts w:hint="eastAsia" w:ascii="宋体" w:hAnsi="宋体" w:eastAsia="宋体"/>
              </w:rPr>
              <w:t>5千元-</w:t>
            </w:r>
            <w:r>
              <w:rPr>
                <w:rFonts w:ascii="宋体" w:hAnsi="宋体" w:eastAsia="宋体"/>
              </w:rPr>
              <w:t>5</w:t>
            </w:r>
            <w:r>
              <w:rPr>
                <w:rFonts w:hint="eastAsia" w:ascii="宋体" w:hAnsi="宋体" w:eastAsia="宋体"/>
              </w:rPr>
              <w:t>（含）万元</w:t>
            </w:r>
          </w:p>
        </w:tc>
        <w:tc>
          <w:tcPr>
            <w:tcW w:w="2955" w:type="dxa"/>
            <w:gridSpan w:val="2"/>
          </w:tcPr>
          <w:p w14:paraId="71F820B2">
            <w:pPr>
              <w:spacing w:line="400" w:lineRule="exact"/>
              <w:jc w:val="left"/>
              <w:rPr>
                <w:rFonts w:ascii="宋体" w:hAnsi="宋体" w:eastAsia="宋体"/>
              </w:rPr>
            </w:pPr>
            <w:r>
              <w:rPr>
                <w:rFonts w:hint="eastAsia" w:ascii="宋体" w:hAnsi="宋体" w:eastAsia="宋体"/>
              </w:rPr>
              <w:t>基于市场公开价格的三方比价</w:t>
            </w:r>
          </w:p>
        </w:tc>
        <w:tc>
          <w:tcPr>
            <w:tcW w:w="2794" w:type="dxa"/>
            <w:vMerge w:val="restart"/>
            <w:vAlign w:val="center"/>
          </w:tcPr>
          <w:p w14:paraId="570B4CDE">
            <w:pPr>
              <w:spacing w:line="400" w:lineRule="exact"/>
              <w:jc w:val="left"/>
              <w:rPr>
                <w:rFonts w:ascii="宋体" w:hAnsi="宋体" w:eastAsia="宋体"/>
              </w:rPr>
            </w:pPr>
            <w:r>
              <w:rPr>
                <w:rFonts w:hint="eastAsia" w:ascii="宋体" w:hAnsi="宋体" w:eastAsia="宋体"/>
              </w:rPr>
              <w:t>优先选用战略供应商（战略供应商需经过三方比价确定，并签署年度战略合作协议）</w:t>
            </w:r>
          </w:p>
        </w:tc>
      </w:tr>
      <w:tr w14:paraId="62C9FDE5">
        <w:trPr>
          <w:jc w:val="center"/>
        </w:trPr>
        <w:tc>
          <w:tcPr>
            <w:tcW w:w="2547" w:type="dxa"/>
            <w:vAlign w:val="center"/>
          </w:tcPr>
          <w:p w14:paraId="3518AD0D">
            <w:pPr>
              <w:spacing w:line="400" w:lineRule="exact"/>
              <w:jc w:val="left"/>
              <w:rPr>
                <w:rFonts w:ascii="宋体" w:hAnsi="宋体" w:eastAsia="宋体"/>
              </w:rPr>
            </w:pPr>
            <w:r>
              <w:rPr>
                <w:rFonts w:hint="eastAsia" w:ascii="宋体" w:hAnsi="宋体" w:eastAsia="宋体"/>
              </w:rPr>
              <w:t>5万元-</w:t>
            </w:r>
            <w:r>
              <w:rPr>
                <w:rFonts w:ascii="宋体" w:hAnsi="宋体" w:eastAsia="宋体"/>
              </w:rPr>
              <w:t>15</w:t>
            </w:r>
            <w:r>
              <w:rPr>
                <w:rFonts w:hint="eastAsia" w:ascii="宋体" w:hAnsi="宋体" w:eastAsia="宋体"/>
              </w:rPr>
              <w:t>（含）万元</w:t>
            </w:r>
          </w:p>
        </w:tc>
        <w:tc>
          <w:tcPr>
            <w:tcW w:w="2955" w:type="dxa"/>
            <w:gridSpan w:val="2"/>
          </w:tcPr>
          <w:p w14:paraId="0EB395D4">
            <w:pPr>
              <w:spacing w:line="400" w:lineRule="exact"/>
              <w:jc w:val="left"/>
              <w:rPr>
                <w:rFonts w:ascii="宋体" w:hAnsi="宋体" w:eastAsia="宋体"/>
              </w:rPr>
            </w:pPr>
            <w:r>
              <w:rPr>
                <w:rFonts w:hint="eastAsia" w:ascii="宋体" w:hAnsi="宋体" w:eastAsia="宋体"/>
              </w:rPr>
              <w:t>基于针对采购需求定制化报价的三方比价</w:t>
            </w:r>
          </w:p>
        </w:tc>
        <w:tc>
          <w:tcPr>
            <w:tcW w:w="2794" w:type="dxa"/>
            <w:vMerge w:val="continue"/>
            <w:vAlign w:val="center"/>
          </w:tcPr>
          <w:p w14:paraId="1A87B225">
            <w:pPr>
              <w:spacing w:line="400" w:lineRule="exact"/>
              <w:jc w:val="left"/>
              <w:rPr>
                <w:rFonts w:ascii="宋体" w:hAnsi="宋体" w:eastAsia="宋体"/>
              </w:rPr>
            </w:pPr>
          </w:p>
        </w:tc>
      </w:tr>
      <w:tr w14:paraId="72AABDC5">
        <w:trPr>
          <w:jc w:val="center"/>
        </w:trPr>
        <w:tc>
          <w:tcPr>
            <w:tcW w:w="8296" w:type="dxa"/>
            <w:gridSpan w:val="4"/>
            <w:vAlign w:val="center"/>
          </w:tcPr>
          <w:p w14:paraId="7A1E2CD4">
            <w:pPr>
              <w:spacing w:line="400" w:lineRule="exact"/>
              <w:jc w:val="left"/>
              <w:rPr>
                <w:rFonts w:ascii="宋体" w:hAnsi="宋体" w:eastAsia="宋体"/>
              </w:rPr>
            </w:pPr>
            <w:r>
              <w:rPr>
                <w:rFonts w:hint="eastAsia" w:ascii="宋体" w:hAnsi="宋体" w:eastAsia="宋体"/>
              </w:rPr>
              <w:t>注：单次合同预算金额上限为1</w:t>
            </w:r>
            <w:r>
              <w:rPr>
                <w:rFonts w:ascii="宋体" w:hAnsi="宋体" w:eastAsia="宋体"/>
              </w:rPr>
              <w:t>5</w:t>
            </w:r>
            <w:r>
              <w:rPr>
                <w:rFonts w:hint="eastAsia" w:ascii="宋体" w:hAnsi="宋体" w:eastAsia="宋体"/>
              </w:rPr>
              <w:t>万元。</w:t>
            </w:r>
          </w:p>
        </w:tc>
      </w:tr>
    </w:tbl>
    <w:p w14:paraId="1B3F190B">
      <w:pPr>
        <w:spacing w:line="520" w:lineRule="exact"/>
        <w:jc w:val="left"/>
        <w:rPr>
          <w:rFonts w:ascii="宋体" w:hAnsi="宋体" w:eastAsia="宋体"/>
        </w:rPr>
      </w:pPr>
    </w:p>
    <w:p w14:paraId="5EB072D1">
      <w:pPr>
        <w:spacing w:line="520" w:lineRule="exact"/>
        <w:jc w:val="left"/>
        <w:rPr>
          <w:rFonts w:ascii="宋体" w:hAnsi="宋体" w:eastAsia="宋体"/>
        </w:rPr>
      </w:pPr>
      <w:r>
        <w:rPr>
          <w:rFonts w:hint="eastAsia" w:ascii="宋体" w:hAnsi="宋体" w:eastAsia="宋体"/>
        </w:rPr>
        <w:t>（二）采购审计、法务、I</w:t>
      </w:r>
      <w:r>
        <w:rPr>
          <w:rFonts w:ascii="宋体" w:hAnsi="宋体" w:eastAsia="宋体"/>
        </w:rPr>
        <w:t>T</w:t>
      </w:r>
      <w:r>
        <w:rPr>
          <w:rFonts w:hint="eastAsia" w:ascii="宋体" w:hAnsi="宋体" w:eastAsia="宋体"/>
        </w:rPr>
        <w:t>及财务服务等</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409"/>
        <w:gridCol w:w="2765"/>
      </w:tblGrid>
      <w:tr w14:paraId="4EE1F9E2">
        <w:trPr>
          <w:jc w:val="center"/>
        </w:trPr>
        <w:tc>
          <w:tcPr>
            <w:tcW w:w="2122" w:type="dxa"/>
            <w:tcBorders>
              <w:bottom w:val="single" w:color="auto" w:sz="4" w:space="0"/>
            </w:tcBorders>
            <w:vAlign w:val="center"/>
          </w:tcPr>
          <w:p w14:paraId="3231A221">
            <w:pPr>
              <w:spacing w:line="520" w:lineRule="exact"/>
              <w:jc w:val="left"/>
              <w:rPr>
                <w:rFonts w:ascii="宋体" w:hAnsi="宋体" w:eastAsia="宋体"/>
              </w:rPr>
            </w:pPr>
            <w:r>
              <w:rPr>
                <w:rFonts w:hint="eastAsia" w:ascii="宋体" w:hAnsi="宋体" w:eastAsia="宋体"/>
              </w:rPr>
              <w:t>金额</w:t>
            </w:r>
          </w:p>
        </w:tc>
        <w:tc>
          <w:tcPr>
            <w:tcW w:w="3409" w:type="dxa"/>
            <w:tcBorders>
              <w:bottom w:val="single" w:color="auto" w:sz="4" w:space="0"/>
            </w:tcBorders>
          </w:tcPr>
          <w:p w14:paraId="35259C8A">
            <w:pPr>
              <w:spacing w:line="520" w:lineRule="exact"/>
              <w:jc w:val="left"/>
              <w:rPr>
                <w:rFonts w:ascii="宋体" w:hAnsi="宋体" w:eastAsia="宋体"/>
              </w:rPr>
            </w:pPr>
            <w:r>
              <w:rPr>
                <w:rFonts w:hint="eastAsia" w:ascii="宋体" w:hAnsi="宋体" w:eastAsia="宋体"/>
              </w:rPr>
              <w:t>一般供应商</w:t>
            </w:r>
          </w:p>
        </w:tc>
        <w:tc>
          <w:tcPr>
            <w:tcW w:w="2765" w:type="dxa"/>
            <w:vAlign w:val="center"/>
          </w:tcPr>
          <w:p w14:paraId="7EF317B8">
            <w:pPr>
              <w:spacing w:line="520" w:lineRule="exact"/>
              <w:jc w:val="left"/>
              <w:rPr>
                <w:rFonts w:ascii="宋体" w:hAnsi="宋体" w:eastAsia="宋体"/>
              </w:rPr>
            </w:pPr>
            <w:r>
              <w:rPr>
                <w:rFonts w:hint="eastAsia" w:ascii="宋体" w:hAnsi="宋体" w:eastAsia="宋体"/>
              </w:rPr>
              <w:t>战略供应商</w:t>
            </w:r>
          </w:p>
        </w:tc>
      </w:tr>
      <w:tr w14:paraId="6F9FB712">
        <w:trPr>
          <w:jc w:val="center"/>
        </w:trPr>
        <w:tc>
          <w:tcPr>
            <w:tcW w:w="2122" w:type="dxa"/>
            <w:vAlign w:val="center"/>
          </w:tcPr>
          <w:p w14:paraId="4E3C3FAC">
            <w:pPr>
              <w:spacing w:line="400" w:lineRule="exact"/>
              <w:jc w:val="left"/>
              <w:rPr>
                <w:rFonts w:ascii="宋体" w:hAnsi="宋体" w:eastAsia="宋体"/>
              </w:rPr>
            </w:pPr>
            <w:r>
              <w:rPr>
                <w:rFonts w:hint="eastAsia" w:ascii="宋体" w:hAnsi="宋体" w:eastAsia="宋体"/>
              </w:rPr>
              <w:t>5万元（含）以下</w:t>
            </w:r>
          </w:p>
        </w:tc>
        <w:tc>
          <w:tcPr>
            <w:tcW w:w="3409" w:type="dxa"/>
          </w:tcPr>
          <w:p w14:paraId="78638AE3">
            <w:pPr>
              <w:spacing w:line="520" w:lineRule="exact"/>
              <w:jc w:val="left"/>
              <w:rPr>
                <w:rFonts w:ascii="宋体" w:hAnsi="宋体" w:eastAsia="宋体"/>
              </w:rPr>
            </w:pPr>
            <w:r>
              <w:rPr>
                <w:rFonts w:hint="eastAsia" w:ascii="宋体" w:hAnsi="宋体" w:eastAsia="宋体"/>
              </w:rPr>
              <w:t>基于市场价值的三方比价</w:t>
            </w:r>
          </w:p>
        </w:tc>
        <w:tc>
          <w:tcPr>
            <w:tcW w:w="2765" w:type="dxa"/>
            <w:vMerge w:val="restart"/>
            <w:vAlign w:val="center"/>
          </w:tcPr>
          <w:p w14:paraId="1DD42BC4">
            <w:pPr>
              <w:spacing w:line="400" w:lineRule="exact"/>
              <w:jc w:val="left"/>
              <w:rPr>
                <w:rFonts w:ascii="宋体" w:hAnsi="宋体" w:eastAsia="宋体"/>
              </w:rPr>
            </w:pPr>
            <w:r>
              <w:rPr>
                <w:rFonts w:hint="eastAsia" w:ascii="宋体" w:hAnsi="宋体" w:eastAsia="宋体"/>
              </w:rPr>
              <w:t>优先采用战略供应商（战略供应商需经过三方比价确定，并签署年度战略合作协议）</w:t>
            </w:r>
          </w:p>
        </w:tc>
      </w:tr>
      <w:tr w14:paraId="18BAC61B">
        <w:trPr>
          <w:jc w:val="center"/>
        </w:trPr>
        <w:tc>
          <w:tcPr>
            <w:tcW w:w="2122" w:type="dxa"/>
            <w:tcBorders>
              <w:bottom w:val="nil"/>
            </w:tcBorders>
            <w:vAlign w:val="center"/>
          </w:tcPr>
          <w:p w14:paraId="5D3F2892">
            <w:pPr>
              <w:spacing w:line="400" w:lineRule="exact"/>
              <w:jc w:val="left"/>
              <w:rPr>
                <w:rFonts w:ascii="宋体" w:hAnsi="宋体" w:eastAsia="宋体"/>
              </w:rPr>
            </w:pPr>
            <w:r>
              <w:rPr>
                <w:rFonts w:hint="eastAsia" w:ascii="宋体" w:hAnsi="宋体" w:eastAsia="宋体"/>
              </w:rPr>
              <w:t>5万元-</w:t>
            </w:r>
            <w:r>
              <w:rPr>
                <w:rFonts w:ascii="宋体" w:hAnsi="宋体" w:eastAsia="宋体"/>
              </w:rPr>
              <w:t>20</w:t>
            </w:r>
            <w:r>
              <w:rPr>
                <w:rFonts w:hint="eastAsia" w:ascii="宋体" w:hAnsi="宋体" w:eastAsia="宋体"/>
              </w:rPr>
              <w:t>（含）万元以下</w:t>
            </w:r>
          </w:p>
        </w:tc>
        <w:tc>
          <w:tcPr>
            <w:tcW w:w="3409" w:type="dxa"/>
            <w:tcBorders>
              <w:bottom w:val="nil"/>
            </w:tcBorders>
            <w:vAlign w:val="center"/>
          </w:tcPr>
          <w:p w14:paraId="5B044CC4">
            <w:pPr>
              <w:spacing w:line="400" w:lineRule="exact"/>
              <w:jc w:val="left"/>
              <w:rPr>
                <w:rFonts w:ascii="宋体" w:hAnsi="宋体" w:eastAsia="宋体"/>
              </w:rPr>
            </w:pPr>
            <w:r>
              <w:rPr>
                <w:rFonts w:hint="eastAsia" w:ascii="宋体" w:hAnsi="宋体" w:eastAsia="宋体"/>
              </w:rPr>
              <w:t>基于针对采购需求定制化报价的三方比价</w:t>
            </w:r>
          </w:p>
        </w:tc>
        <w:tc>
          <w:tcPr>
            <w:tcW w:w="2765" w:type="dxa"/>
            <w:vMerge w:val="continue"/>
            <w:vAlign w:val="center"/>
          </w:tcPr>
          <w:p w14:paraId="4F01F257">
            <w:pPr>
              <w:spacing w:line="520" w:lineRule="exact"/>
              <w:jc w:val="left"/>
              <w:rPr>
                <w:rFonts w:ascii="宋体" w:hAnsi="宋体" w:eastAsia="宋体"/>
              </w:rPr>
            </w:pPr>
          </w:p>
        </w:tc>
      </w:tr>
      <w:tr w14:paraId="2C139AF5">
        <w:trPr>
          <w:jc w:val="center"/>
        </w:trPr>
        <w:tc>
          <w:tcPr>
            <w:tcW w:w="2122" w:type="dxa"/>
            <w:vAlign w:val="center"/>
          </w:tcPr>
          <w:p w14:paraId="504EACC2">
            <w:pPr>
              <w:spacing w:line="400" w:lineRule="exact"/>
              <w:jc w:val="left"/>
              <w:rPr>
                <w:rFonts w:ascii="宋体" w:hAnsi="宋体" w:eastAsia="宋体"/>
              </w:rPr>
            </w:pPr>
            <w:r>
              <w:rPr>
                <w:rFonts w:hint="eastAsia" w:ascii="宋体" w:hAnsi="宋体" w:eastAsia="宋体"/>
              </w:rPr>
              <w:t>2</w:t>
            </w:r>
            <w:r>
              <w:rPr>
                <w:rFonts w:ascii="宋体" w:hAnsi="宋体" w:eastAsia="宋体"/>
              </w:rPr>
              <w:t>0</w:t>
            </w:r>
            <w:r>
              <w:rPr>
                <w:rFonts w:hint="eastAsia" w:ascii="宋体" w:hAnsi="宋体" w:eastAsia="宋体"/>
              </w:rPr>
              <w:t>万元-</w:t>
            </w:r>
            <w:r>
              <w:rPr>
                <w:rFonts w:ascii="宋体" w:hAnsi="宋体" w:eastAsia="宋体"/>
              </w:rPr>
              <w:t>100</w:t>
            </w:r>
            <w:r>
              <w:rPr>
                <w:rFonts w:hint="eastAsia" w:ascii="宋体" w:hAnsi="宋体" w:eastAsia="宋体"/>
              </w:rPr>
              <w:t>（含）万元以下</w:t>
            </w:r>
          </w:p>
        </w:tc>
        <w:tc>
          <w:tcPr>
            <w:tcW w:w="6174" w:type="dxa"/>
            <w:gridSpan w:val="2"/>
            <w:vAlign w:val="center"/>
          </w:tcPr>
          <w:p w14:paraId="75467C18">
            <w:pPr>
              <w:spacing w:line="520" w:lineRule="exact"/>
              <w:jc w:val="left"/>
              <w:rPr>
                <w:rFonts w:ascii="宋体" w:hAnsi="宋体" w:eastAsia="宋体"/>
              </w:rPr>
            </w:pPr>
            <w:r>
              <w:rPr>
                <w:rFonts w:hint="eastAsia" w:ascii="宋体" w:hAnsi="宋体" w:eastAsia="宋体"/>
              </w:rPr>
              <w:t>竞争性谈判</w:t>
            </w:r>
          </w:p>
        </w:tc>
      </w:tr>
      <w:tr w14:paraId="2FD2FD06">
        <w:trPr>
          <w:jc w:val="center"/>
        </w:trPr>
        <w:tc>
          <w:tcPr>
            <w:tcW w:w="2122" w:type="dxa"/>
            <w:vAlign w:val="center"/>
          </w:tcPr>
          <w:p w14:paraId="072C74C3">
            <w:pPr>
              <w:spacing w:line="400" w:lineRule="exact"/>
              <w:jc w:val="left"/>
              <w:rPr>
                <w:rFonts w:ascii="宋体" w:hAnsi="宋体" w:eastAsia="宋体"/>
              </w:rPr>
            </w:pPr>
            <w:r>
              <w:rPr>
                <w:rFonts w:hint="eastAsia" w:ascii="宋体" w:hAnsi="宋体" w:eastAsia="宋体"/>
              </w:rPr>
              <w:t>1</w:t>
            </w:r>
            <w:r>
              <w:rPr>
                <w:rFonts w:ascii="宋体" w:hAnsi="宋体" w:eastAsia="宋体"/>
              </w:rPr>
              <w:t>00</w:t>
            </w:r>
            <w:r>
              <w:rPr>
                <w:rFonts w:hint="eastAsia" w:ascii="宋体" w:hAnsi="宋体" w:eastAsia="宋体"/>
              </w:rPr>
              <w:t>万元以上</w:t>
            </w:r>
          </w:p>
        </w:tc>
        <w:tc>
          <w:tcPr>
            <w:tcW w:w="6174" w:type="dxa"/>
            <w:gridSpan w:val="2"/>
            <w:vAlign w:val="center"/>
          </w:tcPr>
          <w:p w14:paraId="4F880274">
            <w:pPr>
              <w:spacing w:line="520" w:lineRule="exact"/>
              <w:jc w:val="left"/>
              <w:rPr>
                <w:rFonts w:ascii="宋体" w:hAnsi="宋体" w:eastAsia="宋体"/>
              </w:rPr>
            </w:pPr>
            <w:r>
              <w:rPr>
                <w:rFonts w:hint="eastAsia" w:ascii="宋体" w:hAnsi="宋体" w:eastAsia="宋体"/>
              </w:rPr>
              <w:t>公开招标</w:t>
            </w:r>
          </w:p>
        </w:tc>
      </w:tr>
    </w:tbl>
    <w:p w14:paraId="4C41A3B3">
      <w:pPr>
        <w:spacing w:line="520" w:lineRule="exact"/>
        <w:jc w:val="left"/>
        <w:rPr>
          <w:rFonts w:ascii="宋体" w:hAnsi="宋体" w:eastAsia="宋体"/>
        </w:rPr>
      </w:pPr>
    </w:p>
    <w:p w14:paraId="0D31DFAC">
      <w:pPr>
        <w:spacing w:line="520" w:lineRule="exact"/>
        <w:jc w:val="left"/>
        <w:rPr>
          <w:rFonts w:ascii="宋体" w:hAnsi="宋体" w:eastAsia="宋体"/>
        </w:rPr>
      </w:pPr>
      <w:r>
        <w:rPr>
          <w:rFonts w:hint="eastAsia" w:ascii="宋体" w:hAnsi="宋体" w:eastAsia="宋体"/>
        </w:rPr>
        <w:t>（三）采购传播的设计及制作、新媒体开发和运维、公关服务、品牌传播服务、会务服务及策展服务、摄影及摄像、会议速记等服务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8"/>
        <w:gridCol w:w="2766"/>
      </w:tblGrid>
      <w:tr w14:paraId="404E8C47">
        <w:trPr>
          <w:jc w:val="center"/>
        </w:trPr>
        <w:tc>
          <w:tcPr>
            <w:tcW w:w="2972" w:type="dxa"/>
            <w:vAlign w:val="center"/>
          </w:tcPr>
          <w:p w14:paraId="4D5E9490">
            <w:pPr>
              <w:spacing w:line="400" w:lineRule="exact"/>
              <w:jc w:val="left"/>
              <w:rPr>
                <w:rFonts w:ascii="宋体" w:hAnsi="宋体" w:eastAsia="宋体"/>
              </w:rPr>
            </w:pPr>
            <w:r>
              <w:rPr>
                <w:rFonts w:hint="eastAsia" w:ascii="宋体" w:hAnsi="宋体" w:eastAsia="宋体"/>
              </w:rPr>
              <w:t>金额</w:t>
            </w:r>
          </w:p>
        </w:tc>
        <w:tc>
          <w:tcPr>
            <w:tcW w:w="2558" w:type="dxa"/>
            <w:vAlign w:val="center"/>
          </w:tcPr>
          <w:p w14:paraId="4076324D">
            <w:pPr>
              <w:spacing w:line="400" w:lineRule="exact"/>
              <w:jc w:val="left"/>
              <w:rPr>
                <w:rFonts w:ascii="宋体" w:hAnsi="宋体" w:eastAsia="宋体"/>
              </w:rPr>
            </w:pPr>
            <w:r>
              <w:rPr>
                <w:rFonts w:hint="eastAsia" w:ascii="宋体" w:hAnsi="宋体" w:eastAsia="宋体"/>
              </w:rPr>
              <w:t>一般供应商</w:t>
            </w:r>
          </w:p>
        </w:tc>
        <w:tc>
          <w:tcPr>
            <w:tcW w:w="2766" w:type="dxa"/>
            <w:vAlign w:val="center"/>
          </w:tcPr>
          <w:p w14:paraId="11749396">
            <w:pPr>
              <w:spacing w:line="400" w:lineRule="exact"/>
              <w:jc w:val="left"/>
              <w:rPr>
                <w:rFonts w:ascii="宋体" w:hAnsi="宋体" w:eastAsia="宋体"/>
              </w:rPr>
            </w:pPr>
            <w:r>
              <w:rPr>
                <w:rFonts w:hint="eastAsia" w:ascii="宋体" w:hAnsi="宋体" w:eastAsia="宋体"/>
              </w:rPr>
              <w:t>战略供应商</w:t>
            </w:r>
          </w:p>
        </w:tc>
      </w:tr>
      <w:tr w14:paraId="65EB8CEC">
        <w:trPr>
          <w:jc w:val="center"/>
        </w:trPr>
        <w:tc>
          <w:tcPr>
            <w:tcW w:w="2972" w:type="dxa"/>
            <w:vAlign w:val="center"/>
          </w:tcPr>
          <w:p w14:paraId="20684EC5">
            <w:pPr>
              <w:spacing w:line="400" w:lineRule="exact"/>
              <w:jc w:val="left"/>
              <w:rPr>
                <w:rFonts w:ascii="宋体" w:hAnsi="宋体" w:eastAsia="宋体"/>
              </w:rPr>
            </w:pPr>
            <w:r>
              <w:rPr>
                <w:rFonts w:hint="eastAsia" w:ascii="宋体" w:hAnsi="宋体" w:eastAsia="宋体"/>
              </w:rPr>
              <w:t>5千（含）元以下</w:t>
            </w:r>
          </w:p>
        </w:tc>
        <w:tc>
          <w:tcPr>
            <w:tcW w:w="5324" w:type="dxa"/>
            <w:gridSpan w:val="2"/>
            <w:vAlign w:val="center"/>
          </w:tcPr>
          <w:p w14:paraId="5CA2A046">
            <w:pPr>
              <w:spacing w:line="400" w:lineRule="exact"/>
              <w:jc w:val="left"/>
              <w:rPr>
                <w:rFonts w:ascii="宋体" w:hAnsi="宋体" w:eastAsia="宋体"/>
              </w:rPr>
            </w:pPr>
            <w:r>
              <w:rPr>
                <w:rFonts w:hint="eastAsia" w:ascii="宋体" w:hAnsi="宋体" w:eastAsia="宋体"/>
              </w:rPr>
              <w:t>无需进行比价，但价格不能高于市场价；优先选择战略供应商</w:t>
            </w:r>
          </w:p>
        </w:tc>
      </w:tr>
      <w:tr w14:paraId="114092AC">
        <w:trPr>
          <w:jc w:val="center"/>
        </w:trPr>
        <w:tc>
          <w:tcPr>
            <w:tcW w:w="2972" w:type="dxa"/>
            <w:vAlign w:val="center"/>
          </w:tcPr>
          <w:p w14:paraId="188A1E5E">
            <w:pPr>
              <w:spacing w:line="400" w:lineRule="exact"/>
              <w:jc w:val="left"/>
              <w:rPr>
                <w:rFonts w:ascii="宋体" w:hAnsi="宋体" w:eastAsia="宋体"/>
              </w:rPr>
            </w:pPr>
            <w:r>
              <w:rPr>
                <w:rFonts w:ascii="宋体" w:hAnsi="宋体" w:eastAsia="宋体"/>
              </w:rPr>
              <w:t>5</w:t>
            </w:r>
            <w:r>
              <w:rPr>
                <w:rFonts w:hint="eastAsia" w:ascii="宋体" w:hAnsi="宋体" w:eastAsia="宋体"/>
              </w:rPr>
              <w:t>千元-5（含）万元</w:t>
            </w:r>
          </w:p>
        </w:tc>
        <w:tc>
          <w:tcPr>
            <w:tcW w:w="2558" w:type="dxa"/>
          </w:tcPr>
          <w:p w14:paraId="05BBAD75">
            <w:pPr>
              <w:spacing w:line="400" w:lineRule="exact"/>
              <w:jc w:val="left"/>
              <w:rPr>
                <w:rFonts w:ascii="宋体" w:hAnsi="宋体" w:eastAsia="宋体"/>
              </w:rPr>
            </w:pPr>
            <w:r>
              <w:rPr>
                <w:rFonts w:hint="eastAsia" w:ascii="宋体" w:hAnsi="宋体" w:eastAsia="宋体"/>
              </w:rPr>
              <w:t>基于市场价值的三方比价</w:t>
            </w:r>
          </w:p>
        </w:tc>
        <w:tc>
          <w:tcPr>
            <w:tcW w:w="2766" w:type="dxa"/>
            <w:vMerge w:val="restart"/>
            <w:vAlign w:val="center"/>
          </w:tcPr>
          <w:p w14:paraId="0BFA028D">
            <w:pPr>
              <w:spacing w:line="400" w:lineRule="exact"/>
              <w:jc w:val="left"/>
              <w:rPr>
                <w:rFonts w:ascii="宋体" w:hAnsi="宋体" w:eastAsia="宋体"/>
              </w:rPr>
            </w:pPr>
            <w:r>
              <w:rPr>
                <w:rFonts w:hint="eastAsia" w:ascii="宋体" w:hAnsi="宋体" w:eastAsia="宋体"/>
              </w:rPr>
              <w:t>优先采用战略供应商（战略供应商需经过三方比价确定，并签署年度战略合作协议）</w:t>
            </w:r>
          </w:p>
        </w:tc>
      </w:tr>
      <w:tr w14:paraId="06A52A23">
        <w:trPr>
          <w:jc w:val="center"/>
        </w:trPr>
        <w:tc>
          <w:tcPr>
            <w:tcW w:w="2972" w:type="dxa"/>
            <w:vAlign w:val="center"/>
          </w:tcPr>
          <w:p w14:paraId="754793D8">
            <w:pPr>
              <w:spacing w:line="400" w:lineRule="exact"/>
              <w:jc w:val="left"/>
              <w:rPr>
                <w:rFonts w:ascii="宋体" w:hAnsi="宋体" w:eastAsia="宋体"/>
              </w:rPr>
            </w:pPr>
            <w:r>
              <w:rPr>
                <w:rFonts w:hint="eastAsia" w:ascii="宋体" w:hAnsi="宋体" w:eastAsia="宋体"/>
              </w:rPr>
              <w:t>5万元-</w:t>
            </w:r>
            <w:r>
              <w:rPr>
                <w:rFonts w:ascii="宋体" w:hAnsi="宋体" w:eastAsia="宋体"/>
              </w:rPr>
              <w:t>20</w:t>
            </w:r>
            <w:r>
              <w:rPr>
                <w:rFonts w:hint="eastAsia" w:ascii="宋体" w:hAnsi="宋体" w:eastAsia="宋体"/>
              </w:rPr>
              <w:t>（含）万元以下</w:t>
            </w:r>
          </w:p>
        </w:tc>
        <w:tc>
          <w:tcPr>
            <w:tcW w:w="2558" w:type="dxa"/>
            <w:vAlign w:val="center"/>
          </w:tcPr>
          <w:p w14:paraId="55FFAA9F">
            <w:pPr>
              <w:spacing w:line="400" w:lineRule="exact"/>
              <w:jc w:val="left"/>
              <w:rPr>
                <w:rFonts w:ascii="宋体" w:hAnsi="宋体" w:eastAsia="宋体"/>
              </w:rPr>
            </w:pPr>
            <w:r>
              <w:rPr>
                <w:rFonts w:hint="eastAsia" w:ascii="宋体" w:hAnsi="宋体" w:eastAsia="宋体"/>
              </w:rPr>
              <w:t>基于针对采购需求定制化报价的三方比价</w:t>
            </w:r>
          </w:p>
        </w:tc>
        <w:tc>
          <w:tcPr>
            <w:tcW w:w="2766" w:type="dxa"/>
            <w:vMerge w:val="continue"/>
            <w:vAlign w:val="center"/>
          </w:tcPr>
          <w:p w14:paraId="4C4177FE">
            <w:pPr>
              <w:spacing w:line="520" w:lineRule="exact"/>
              <w:jc w:val="left"/>
              <w:rPr>
                <w:rFonts w:ascii="宋体" w:hAnsi="宋体" w:eastAsia="宋体"/>
              </w:rPr>
            </w:pPr>
          </w:p>
        </w:tc>
      </w:tr>
      <w:tr w14:paraId="4C459AC0">
        <w:trPr>
          <w:jc w:val="center"/>
        </w:trPr>
        <w:tc>
          <w:tcPr>
            <w:tcW w:w="2972" w:type="dxa"/>
            <w:vAlign w:val="center"/>
          </w:tcPr>
          <w:p w14:paraId="094E328C">
            <w:pPr>
              <w:spacing w:line="400" w:lineRule="exact"/>
              <w:jc w:val="left"/>
              <w:rPr>
                <w:rFonts w:ascii="宋体" w:hAnsi="宋体" w:eastAsia="宋体"/>
              </w:rPr>
            </w:pPr>
            <w:r>
              <w:rPr>
                <w:rFonts w:hint="eastAsia" w:ascii="宋体" w:hAnsi="宋体" w:eastAsia="宋体"/>
              </w:rPr>
              <w:t>2</w:t>
            </w:r>
            <w:r>
              <w:rPr>
                <w:rFonts w:ascii="宋体" w:hAnsi="宋体" w:eastAsia="宋体"/>
              </w:rPr>
              <w:t>0</w:t>
            </w:r>
            <w:r>
              <w:rPr>
                <w:rFonts w:hint="eastAsia" w:ascii="宋体" w:hAnsi="宋体" w:eastAsia="宋体"/>
              </w:rPr>
              <w:t>万元-</w:t>
            </w:r>
            <w:r>
              <w:rPr>
                <w:rFonts w:ascii="宋体" w:hAnsi="宋体" w:eastAsia="宋体"/>
              </w:rPr>
              <w:t>100</w:t>
            </w:r>
            <w:r>
              <w:rPr>
                <w:rFonts w:hint="eastAsia" w:ascii="宋体" w:hAnsi="宋体" w:eastAsia="宋体"/>
              </w:rPr>
              <w:t>（含）万元以下</w:t>
            </w:r>
          </w:p>
        </w:tc>
        <w:tc>
          <w:tcPr>
            <w:tcW w:w="5324" w:type="dxa"/>
            <w:gridSpan w:val="2"/>
            <w:vAlign w:val="center"/>
          </w:tcPr>
          <w:p w14:paraId="17F5D052">
            <w:pPr>
              <w:spacing w:line="520" w:lineRule="exact"/>
              <w:jc w:val="left"/>
              <w:rPr>
                <w:rFonts w:ascii="宋体" w:hAnsi="宋体" w:eastAsia="宋体"/>
              </w:rPr>
            </w:pPr>
            <w:r>
              <w:rPr>
                <w:rFonts w:hint="eastAsia" w:ascii="宋体" w:hAnsi="宋体" w:eastAsia="宋体"/>
              </w:rPr>
              <w:t>竞争性谈判</w:t>
            </w:r>
          </w:p>
        </w:tc>
      </w:tr>
      <w:tr w14:paraId="1A9A826E">
        <w:trPr>
          <w:jc w:val="center"/>
        </w:trPr>
        <w:tc>
          <w:tcPr>
            <w:tcW w:w="2972" w:type="dxa"/>
            <w:vAlign w:val="center"/>
          </w:tcPr>
          <w:p w14:paraId="254EA419">
            <w:pPr>
              <w:spacing w:line="400" w:lineRule="exact"/>
              <w:jc w:val="left"/>
              <w:rPr>
                <w:rFonts w:ascii="宋体" w:hAnsi="宋体" w:eastAsia="宋体"/>
              </w:rPr>
            </w:pPr>
            <w:r>
              <w:rPr>
                <w:rFonts w:hint="eastAsia" w:ascii="宋体" w:hAnsi="宋体" w:eastAsia="宋体"/>
              </w:rPr>
              <w:t>1</w:t>
            </w:r>
            <w:r>
              <w:rPr>
                <w:rFonts w:ascii="宋体" w:hAnsi="宋体" w:eastAsia="宋体"/>
              </w:rPr>
              <w:t>00</w:t>
            </w:r>
            <w:r>
              <w:rPr>
                <w:rFonts w:hint="eastAsia" w:ascii="宋体" w:hAnsi="宋体" w:eastAsia="宋体"/>
              </w:rPr>
              <w:t>万元以上</w:t>
            </w:r>
          </w:p>
        </w:tc>
        <w:tc>
          <w:tcPr>
            <w:tcW w:w="5324" w:type="dxa"/>
            <w:gridSpan w:val="2"/>
            <w:vAlign w:val="center"/>
          </w:tcPr>
          <w:p w14:paraId="54FA1F95">
            <w:pPr>
              <w:spacing w:line="400" w:lineRule="exact"/>
              <w:jc w:val="left"/>
              <w:rPr>
                <w:rFonts w:ascii="宋体" w:hAnsi="宋体" w:eastAsia="宋体"/>
              </w:rPr>
            </w:pPr>
            <w:r>
              <w:rPr>
                <w:rFonts w:hint="eastAsia" w:ascii="宋体" w:hAnsi="宋体" w:eastAsia="宋体"/>
              </w:rPr>
              <w:t>公开招标</w:t>
            </w:r>
          </w:p>
        </w:tc>
      </w:tr>
    </w:tbl>
    <w:p w14:paraId="348A6DA2">
      <w:pPr>
        <w:spacing w:line="520" w:lineRule="exact"/>
        <w:jc w:val="left"/>
        <w:rPr>
          <w:rFonts w:ascii="宋体" w:hAnsi="宋体" w:eastAsia="宋体"/>
        </w:rPr>
      </w:pPr>
    </w:p>
    <w:p w14:paraId="3D9CB81E">
      <w:pPr>
        <w:spacing w:line="520" w:lineRule="exact"/>
        <w:jc w:val="left"/>
        <w:rPr>
          <w:rFonts w:ascii="宋体" w:hAnsi="宋体" w:eastAsia="宋体"/>
        </w:rPr>
      </w:pPr>
      <w:r>
        <w:rPr>
          <w:rFonts w:hint="eastAsia" w:ascii="宋体" w:hAnsi="宋体" w:eastAsia="宋体"/>
        </w:rPr>
        <w:t>（四）采购社会组织项目执行、研究、评估等项目服务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176C7475">
        <w:trPr>
          <w:jc w:val="center"/>
        </w:trPr>
        <w:tc>
          <w:tcPr>
            <w:tcW w:w="2765" w:type="dxa"/>
            <w:vAlign w:val="center"/>
          </w:tcPr>
          <w:p w14:paraId="40502FB0">
            <w:pPr>
              <w:spacing w:line="400" w:lineRule="exact"/>
              <w:jc w:val="left"/>
              <w:rPr>
                <w:rFonts w:ascii="宋体" w:hAnsi="宋体" w:eastAsia="宋体"/>
              </w:rPr>
            </w:pPr>
            <w:r>
              <w:rPr>
                <w:rFonts w:hint="eastAsia" w:ascii="宋体" w:hAnsi="宋体" w:eastAsia="宋体"/>
              </w:rPr>
              <w:t>金额</w:t>
            </w:r>
          </w:p>
        </w:tc>
        <w:tc>
          <w:tcPr>
            <w:tcW w:w="2765" w:type="dxa"/>
            <w:vAlign w:val="center"/>
          </w:tcPr>
          <w:p w14:paraId="5F425624">
            <w:pPr>
              <w:spacing w:line="400" w:lineRule="exact"/>
              <w:jc w:val="left"/>
              <w:rPr>
                <w:rFonts w:ascii="宋体" w:hAnsi="宋体" w:eastAsia="宋体"/>
              </w:rPr>
            </w:pPr>
            <w:r>
              <w:rPr>
                <w:rFonts w:hint="eastAsia" w:ascii="宋体" w:hAnsi="宋体" w:eastAsia="宋体"/>
              </w:rPr>
              <w:t>一般供应商</w:t>
            </w:r>
          </w:p>
        </w:tc>
        <w:tc>
          <w:tcPr>
            <w:tcW w:w="2766" w:type="dxa"/>
            <w:vAlign w:val="center"/>
          </w:tcPr>
          <w:p w14:paraId="0EEF8FCD">
            <w:pPr>
              <w:spacing w:line="400" w:lineRule="exact"/>
              <w:jc w:val="left"/>
              <w:rPr>
                <w:rFonts w:ascii="宋体" w:hAnsi="宋体" w:eastAsia="宋体"/>
              </w:rPr>
            </w:pPr>
            <w:r>
              <w:rPr>
                <w:rFonts w:hint="eastAsia" w:ascii="宋体" w:hAnsi="宋体" w:eastAsia="宋体"/>
              </w:rPr>
              <w:t>战略供应商</w:t>
            </w:r>
          </w:p>
        </w:tc>
      </w:tr>
      <w:tr w14:paraId="4E4FD88A">
        <w:trPr>
          <w:jc w:val="center"/>
        </w:trPr>
        <w:tc>
          <w:tcPr>
            <w:tcW w:w="2765" w:type="dxa"/>
            <w:vAlign w:val="center"/>
          </w:tcPr>
          <w:p w14:paraId="36BC5CD5">
            <w:pPr>
              <w:spacing w:line="400" w:lineRule="exact"/>
              <w:jc w:val="left"/>
              <w:rPr>
                <w:rFonts w:ascii="宋体" w:hAnsi="宋体" w:eastAsia="宋体"/>
              </w:rPr>
            </w:pPr>
            <w:r>
              <w:rPr>
                <w:rFonts w:ascii="宋体" w:hAnsi="宋体" w:eastAsia="宋体"/>
              </w:rPr>
              <w:t>10</w:t>
            </w:r>
            <w:r>
              <w:rPr>
                <w:rFonts w:hint="eastAsia" w:ascii="宋体" w:hAnsi="宋体" w:eastAsia="宋体"/>
              </w:rPr>
              <w:t>万元（含）以下</w:t>
            </w:r>
          </w:p>
        </w:tc>
        <w:tc>
          <w:tcPr>
            <w:tcW w:w="5531" w:type="dxa"/>
            <w:gridSpan w:val="2"/>
            <w:vAlign w:val="center"/>
          </w:tcPr>
          <w:p w14:paraId="73423749">
            <w:pPr>
              <w:spacing w:line="400" w:lineRule="exact"/>
              <w:jc w:val="left"/>
              <w:rPr>
                <w:rFonts w:ascii="宋体" w:hAnsi="宋体" w:eastAsia="宋体"/>
              </w:rPr>
            </w:pPr>
            <w:r>
              <w:rPr>
                <w:rFonts w:hint="eastAsia" w:ascii="宋体" w:hAnsi="宋体" w:eastAsia="宋体"/>
              </w:rPr>
              <w:t>无需进行比价，但价格不能高于市场价；优先选择战略供应商</w:t>
            </w:r>
          </w:p>
        </w:tc>
      </w:tr>
      <w:tr w14:paraId="65569432">
        <w:trPr>
          <w:jc w:val="center"/>
        </w:trPr>
        <w:tc>
          <w:tcPr>
            <w:tcW w:w="2765" w:type="dxa"/>
            <w:vAlign w:val="center"/>
          </w:tcPr>
          <w:p w14:paraId="68330B0F">
            <w:pPr>
              <w:spacing w:line="400" w:lineRule="exact"/>
              <w:jc w:val="left"/>
              <w:rPr>
                <w:rFonts w:ascii="宋体" w:hAnsi="宋体" w:eastAsia="宋体"/>
              </w:rPr>
            </w:pPr>
            <w:r>
              <w:rPr>
                <w:rFonts w:ascii="宋体" w:hAnsi="宋体" w:eastAsia="宋体"/>
              </w:rPr>
              <w:t>10</w:t>
            </w:r>
            <w:r>
              <w:rPr>
                <w:rFonts w:hint="eastAsia" w:ascii="宋体" w:hAnsi="宋体" w:eastAsia="宋体"/>
              </w:rPr>
              <w:t>万元以上</w:t>
            </w:r>
          </w:p>
        </w:tc>
        <w:tc>
          <w:tcPr>
            <w:tcW w:w="5531" w:type="dxa"/>
            <w:gridSpan w:val="2"/>
            <w:vAlign w:val="center"/>
          </w:tcPr>
          <w:p w14:paraId="093C31FE">
            <w:pPr>
              <w:spacing w:line="400" w:lineRule="exact"/>
              <w:jc w:val="left"/>
              <w:rPr>
                <w:rFonts w:ascii="宋体" w:hAnsi="宋体" w:eastAsia="宋体"/>
              </w:rPr>
            </w:pPr>
            <w:r>
              <w:rPr>
                <w:rFonts w:hint="eastAsia" w:ascii="宋体" w:hAnsi="宋体" w:eastAsia="宋体"/>
              </w:rPr>
              <w:t>走资助评估流程</w:t>
            </w:r>
          </w:p>
        </w:tc>
      </w:tr>
    </w:tbl>
    <w:p w14:paraId="45802179">
      <w:pPr>
        <w:spacing w:line="520" w:lineRule="exact"/>
        <w:jc w:val="left"/>
        <w:rPr>
          <w:rFonts w:ascii="宋体" w:hAnsi="宋体" w:eastAsia="宋体"/>
        </w:rPr>
      </w:pPr>
      <w:r>
        <w:rPr>
          <w:rFonts w:hint="eastAsia" w:ascii="宋体" w:hAnsi="宋体" w:eastAsia="宋体"/>
        </w:rPr>
        <w:t xml:space="preserve"> </w:t>
      </w:r>
    </w:p>
    <w:p w14:paraId="5F90FA98">
      <w:pPr>
        <w:spacing w:line="520" w:lineRule="exact"/>
        <w:jc w:val="left"/>
        <w:rPr>
          <w:rFonts w:ascii="宋体" w:hAnsi="宋体" w:eastAsia="宋体"/>
        </w:rPr>
      </w:pPr>
      <w:r>
        <w:rPr>
          <w:rFonts w:hint="eastAsia" w:ascii="宋体" w:hAnsi="宋体" w:eastAsia="宋体"/>
        </w:rPr>
        <w:t>（五）采购工程类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3260"/>
      </w:tblGrid>
      <w:tr w14:paraId="65ACFC73">
        <w:trPr>
          <w:jc w:val="center"/>
        </w:trPr>
        <w:tc>
          <w:tcPr>
            <w:tcW w:w="3539" w:type="dxa"/>
            <w:vAlign w:val="center"/>
          </w:tcPr>
          <w:p w14:paraId="57EA78AD">
            <w:pPr>
              <w:spacing w:line="400" w:lineRule="exact"/>
              <w:jc w:val="left"/>
              <w:rPr>
                <w:rFonts w:ascii="宋体" w:hAnsi="宋体" w:eastAsia="宋体"/>
              </w:rPr>
            </w:pPr>
            <w:r>
              <w:rPr>
                <w:rFonts w:hint="eastAsia" w:ascii="宋体" w:hAnsi="宋体" w:eastAsia="宋体"/>
              </w:rPr>
              <w:t>金额</w:t>
            </w:r>
          </w:p>
        </w:tc>
        <w:tc>
          <w:tcPr>
            <w:tcW w:w="3260" w:type="dxa"/>
            <w:vAlign w:val="center"/>
          </w:tcPr>
          <w:p w14:paraId="59246E6C">
            <w:pPr>
              <w:spacing w:line="400" w:lineRule="exact"/>
              <w:jc w:val="left"/>
              <w:rPr>
                <w:rFonts w:ascii="宋体" w:hAnsi="宋体" w:eastAsia="宋体"/>
              </w:rPr>
            </w:pPr>
            <w:r>
              <w:rPr>
                <w:rFonts w:hint="eastAsia" w:ascii="宋体" w:hAnsi="宋体" w:eastAsia="宋体"/>
              </w:rPr>
              <w:t>采购方式</w:t>
            </w:r>
          </w:p>
        </w:tc>
      </w:tr>
      <w:tr w14:paraId="270F17E0">
        <w:trPr>
          <w:jc w:val="center"/>
        </w:trPr>
        <w:tc>
          <w:tcPr>
            <w:tcW w:w="3539" w:type="dxa"/>
            <w:vAlign w:val="center"/>
          </w:tcPr>
          <w:p w14:paraId="385DB21A">
            <w:pPr>
              <w:spacing w:line="400" w:lineRule="exact"/>
              <w:jc w:val="left"/>
              <w:rPr>
                <w:rFonts w:ascii="宋体" w:hAnsi="宋体" w:eastAsia="宋体"/>
              </w:rPr>
            </w:pPr>
            <w:r>
              <w:rPr>
                <w:rFonts w:hint="eastAsia" w:ascii="宋体" w:hAnsi="宋体" w:eastAsia="宋体"/>
              </w:rPr>
              <w:t>1（含）万元以下</w:t>
            </w:r>
          </w:p>
        </w:tc>
        <w:tc>
          <w:tcPr>
            <w:tcW w:w="3260" w:type="dxa"/>
            <w:vAlign w:val="center"/>
          </w:tcPr>
          <w:p w14:paraId="7D865F9D">
            <w:pPr>
              <w:spacing w:line="400" w:lineRule="exact"/>
              <w:jc w:val="left"/>
              <w:rPr>
                <w:rFonts w:ascii="宋体" w:hAnsi="宋体" w:eastAsia="宋体"/>
              </w:rPr>
            </w:pPr>
            <w:r>
              <w:rPr>
                <w:rFonts w:hint="eastAsia" w:ascii="宋体" w:hAnsi="宋体" w:eastAsia="宋体"/>
              </w:rPr>
              <w:t>无需进行比价，但价格不能高于市场价；优先选择战略供应商</w:t>
            </w:r>
          </w:p>
        </w:tc>
      </w:tr>
      <w:tr w14:paraId="6C468595">
        <w:trPr>
          <w:jc w:val="center"/>
        </w:trPr>
        <w:tc>
          <w:tcPr>
            <w:tcW w:w="3539" w:type="dxa"/>
            <w:vAlign w:val="center"/>
          </w:tcPr>
          <w:p w14:paraId="0913C060">
            <w:pPr>
              <w:spacing w:line="400" w:lineRule="exact"/>
              <w:jc w:val="left"/>
              <w:rPr>
                <w:rFonts w:ascii="宋体" w:hAnsi="宋体" w:eastAsia="宋体"/>
              </w:rPr>
            </w:pPr>
            <w:r>
              <w:rPr>
                <w:rFonts w:ascii="宋体" w:hAnsi="宋体" w:eastAsia="宋体"/>
              </w:rPr>
              <w:t>1</w:t>
            </w:r>
            <w:r>
              <w:rPr>
                <w:rFonts w:hint="eastAsia" w:ascii="宋体" w:hAnsi="宋体" w:eastAsia="宋体"/>
              </w:rPr>
              <w:t>万元-3</w:t>
            </w:r>
            <w:r>
              <w:rPr>
                <w:rFonts w:ascii="宋体" w:hAnsi="宋体" w:eastAsia="宋体"/>
              </w:rPr>
              <w:t>0</w:t>
            </w:r>
            <w:r>
              <w:rPr>
                <w:rFonts w:hint="eastAsia" w:ascii="宋体" w:hAnsi="宋体" w:eastAsia="宋体"/>
              </w:rPr>
              <w:t>（含）万元</w:t>
            </w:r>
          </w:p>
        </w:tc>
        <w:tc>
          <w:tcPr>
            <w:tcW w:w="3260" w:type="dxa"/>
            <w:vAlign w:val="center"/>
          </w:tcPr>
          <w:p w14:paraId="55C7C7BD">
            <w:pPr>
              <w:spacing w:line="400" w:lineRule="exact"/>
              <w:jc w:val="left"/>
              <w:rPr>
                <w:rFonts w:ascii="宋体" w:hAnsi="宋体" w:eastAsia="宋体"/>
              </w:rPr>
            </w:pPr>
            <w:r>
              <w:rPr>
                <w:rFonts w:hint="eastAsia" w:ascii="宋体" w:hAnsi="宋体" w:eastAsia="宋体"/>
              </w:rPr>
              <w:t>基于针对需求定制化报价的三方比价</w:t>
            </w:r>
          </w:p>
        </w:tc>
      </w:tr>
      <w:tr w14:paraId="6B7A36F6">
        <w:trPr>
          <w:jc w:val="center"/>
        </w:trPr>
        <w:tc>
          <w:tcPr>
            <w:tcW w:w="3539" w:type="dxa"/>
            <w:vAlign w:val="center"/>
          </w:tcPr>
          <w:p w14:paraId="687FA2DB">
            <w:pPr>
              <w:spacing w:line="400" w:lineRule="exact"/>
              <w:jc w:val="left"/>
              <w:rPr>
                <w:rFonts w:ascii="宋体" w:hAnsi="宋体" w:eastAsia="宋体"/>
              </w:rPr>
            </w:pPr>
            <w:r>
              <w:rPr>
                <w:rFonts w:hint="eastAsia" w:ascii="宋体" w:hAnsi="宋体" w:eastAsia="宋体"/>
              </w:rPr>
              <w:t>3</w:t>
            </w:r>
            <w:r>
              <w:rPr>
                <w:rFonts w:ascii="宋体" w:hAnsi="宋体" w:eastAsia="宋体"/>
              </w:rPr>
              <w:t>0</w:t>
            </w:r>
            <w:r>
              <w:rPr>
                <w:rFonts w:hint="eastAsia" w:ascii="宋体" w:hAnsi="宋体" w:eastAsia="宋体"/>
              </w:rPr>
              <w:t>万元-</w:t>
            </w:r>
            <w:r>
              <w:rPr>
                <w:rFonts w:ascii="宋体" w:hAnsi="宋体" w:eastAsia="宋体"/>
              </w:rPr>
              <w:t>100</w:t>
            </w:r>
            <w:r>
              <w:rPr>
                <w:rFonts w:hint="eastAsia" w:ascii="宋体" w:hAnsi="宋体" w:eastAsia="宋体"/>
              </w:rPr>
              <w:t>（含）万元以下</w:t>
            </w:r>
          </w:p>
        </w:tc>
        <w:tc>
          <w:tcPr>
            <w:tcW w:w="3260" w:type="dxa"/>
            <w:vAlign w:val="center"/>
          </w:tcPr>
          <w:p w14:paraId="0397A3F9">
            <w:pPr>
              <w:spacing w:line="400" w:lineRule="exact"/>
              <w:jc w:val="left"/>
              <w:rPr>
                <w:rFonts w:ascii="宋体" w:hAnsi="宋体" w:eastAsia="宋体"/>
              </w:rPr>
            </w:pPr>
            <w:r>
              <w:rPr>
                <w:rFonts w:hint="eastAsia" w:ascii="宋体" w:hAnsi="宋体" w:eastAsia="宋体"/>
              </w:rPr>
              <w:t>竞争性谈判</w:t>
            </w:r>
          </w:p>
        </w:tc>
      </w:tr>
      <w:tr w14:paraId="05CE5F65">
        <w:trPr>
          <w:jc w:val="center"/>
        </w:trPr>
        <w:tc>
          <w:tcPr>
            <w:tcW w:w="3539" w:type="dxa"/>
            <w:vAlign w:val="center"/>
          </w:tcPr>
          <w:p w14:paraId="4A9B5B5A">
            <w:pPr>
              <w:spacing w:line="400" w:lineRule="exact"/>
              <w:jc w:val="left"/>
              <w:rPr>
                <w:rFonts w:ascii="宋体" w:hAnsi="宋体" w:eastAsia="宋体"/>
              </w:rPr>
            </w:pPr>
            <w:r>
              <w:rPr>
                <w:rFonts w:hint="eastAsia" w:ascii="宋体" w:hAnsi="宋体" w:eastAsia="宋体"/>
              </w:rPr>
              <w:t>1</w:t>
            </w:r>
            <w:r>
              <w:rPr>
                <w:rFonts w:ascii="宋体" w:hAnsi="宋体" w:eastAsia="宋体"/>
              </w:rPr>
              <w:t>00</w:t>
            </w:r>
            <w:r>
              <w:rPr>
                <w:rFonts w:hint="eastAsia" w:ascii="宋体" w:hAnsi="宋体" w:eastAsia="宋体"/>
              </w:rPr>
              <w:t>万元以上</w:t>
            </w:r>
          </w:p>
        </w:tc>
        <w:tc>
          <w:tcPr>
            <w:tcW w:w="3260" w:type="dxa"/>
            <w:vAlign w:val="center"/>
          </w:tcPr>
          <w:p w14:paraId="450C5965">
            <w:pPr>
              <w:spacing w:line="400" w:lineRule="exact"/>
              <w:jc w:val="left"/>
              <w:rPr>
                <w:rFonts w:ascii="宋体" w:hAnsi="宋体" w:eastAsia="宋体"/>
              </w:rPr>
            </w:pPr>
            <w:r>
              <w:rPr>
                <w:rFonts w:hint="eastAsia" w:ascii="宋体" w:hAnsi="宋体" w:eastAsia="宋体"/>
              </w:rPr>
              <w:t>公开招标</w:t>
            </w:r>
          </w:p>
        </w:tc>
      </w:tr>
    </w:tbl>
    <w:p w14:paraId="592E6827">
      <w:pPr>
        <w:widowControl/>
        <w:spacing w:line="480" w:lineRule="atLeast"/>
        <w:jc w:val="left"/>
        <w:rPr>
          <w:rFonts w:ascii="宋体" w:hAnsi="宋体" w:eastAsia="宋体" w:cs="Helvetica"/>
          <w:color w:val="333333"/>
          <w:kern w:val="0"/>
        </w:rPr>
      </w:pPr>
      <w:r>
        <w:rPr>
          <w:rFonts w:hint="eastAsia" w:ascii="宋体" w:hAnsi="宋体" w:eastAsia="宋体" w:cs="Helvetica"/>
          <w:color w:val="333333"/>
          <w:kern w:val="0"/>
        </w:rPr>
        <w:t>以上五类采购所有金额均为单次合同预算金额。任何项目不可为避免比价、竞争性谈判或招标流程而对合同进行分解或者以其他方式规避比价、竞争性谈判或招标流程。</w:t>
      </w:r>
    </w:p>
    <w:p w14:paraId="645E7E6D">
      <w:pPr>
        <w:spacing w:line="400" w:lineRule="exact"/>
        <w:jc w:val="left"/>
        <w:rPr>
          <w:rFonts w:ascii="宋体" w:hAnsi="宋体" w:eastAsia="宋体"/>
        </w:rPr>
      </w:pPr>
    </w:p>
    <w:p w14:paraId="182508C5">
      <w:pPr>
        <w:spacing w:line="520" w:lineRule="exact"/>
        <w:jc w:val="left"/>
        <w:rPr>
          <w:rFonts w:ascii="宋体" w:hAnsi="宋体" w:eastAsia="宋体"/>
        </w:rPr>
      </w:pPr>
      <w:r>
        <w:rPr>
          <w:rFonts w:hint="eastAsia" w:ascii="宋体" w:hAnsi="宋体" w:eastAsia="宋体"/>
        </w:rPr>
        <w:t>第七条</w:t>
      </w:r>
      <w:r>
        <w:rPr>
          <w:rFonts w:ascii="宋体" w:hAnsi="宋体" w:eastAsia="宋体"/>
        </w:rPr>
        <w:t xml:space="preserve">  </w:t>
      </w:r>
      <w:r>
        <w:rPr>
          <w:rFonts w:hint="eastAsia" w:ascii="宋体" w:hAnsi="宋体" w:eastAsia="宋体"/>
        </w:rPr>
        <w:t>供应商须提供的资料：</w:t>
      </w:r>
    </w:p>
    <w:p w14:paraId="5FCE39FE">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（一）法人主体应提供以下资料：</w:t>
      </w:r>
    </w:p>
    <w:p w14:paraId="0593A99B">
      <w:pPr>
        <w:spacing w:line="520" w:lineRule="exact"/>
        <w:jc w:val="left"/>
        <w:rPr>
          <w:rFonts w:ascii="宋体" w:hAnsi="宋体" w:eastAsia="宋体"/>
        </w:rPr>
      </w:pPr>
      <w:r>
        <w:rPr>
          <w:rFonts w:ascii="宋体" w:hAnsi="宋体" w:eastAsia="宋体"/>
        </w:rPr>
        <w:t xml:space="preserve">        </w:t>
      </w:r>
      <w:r>
        <w:rPr>
          <w:rFonts w:hint="eastAsia" w:ascii="宋体" w:hAnsi="宋体" w:eastAsia="宋体"/>
        </w:rPr>
        <w:t>1.营业执照复印件；</w:t>
      </w:r>
    </w:p>
    <w:p w14:paraId="0CDE5B1B">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2.税务登记相关资料；</w:t>
      </w:r>
    </w:p>
    <w:p w14:paraId="4959CC56">
      <w:pPr>
        <w:spacing w:line="520" w:lineRule="exact"/>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3.公司或组织介绍（经营范围简介、主要业绩等）；</w:t>
      </w:r>
    </w:p>
    <w:p w14:paraId="1500DB8F">
      <w:pPr>
        <w:spacing w:line="520" w:lineRule="exact"/>
        <w:ind w:left="960" w:hanging="960" w:hangingChars="40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4.其他按项目需求应提供的资料，如认证体系证书、特殊行业许可证等的复印件。</w:t>
      </w:r>
    </w:p>
    <w:p w14:paraId="5CF3A808">
      <w:pPr>
        <w:spacing w:line="520" w:lineRule="exact"/>
        <w:ind w:left="960" w:hanging="960" w:hangingChars="400"/>
        <w:jc w:val="left"/>
        <w:rPr>
          <w:rFonts w:ascii="宋体" w:hAnsi="宋体" w:eastAsia="宋体"/>
        </w:rPr>
      </w:pPr>
      <w:r>
        <w:rPr>
          <w:rFonts w:hint="eastAsia" w:ascii="宋体" w:hAnsi="宋体" w:eastAsia="宋体"/>
        </w:rPr>
        <w:t>（二）个人应提供以下材料：</w:t>
      </w:r>
    </w:p>
    <w:p w14:paraId="0A8225C2">
      <w:pPr>
        <w:spacing w:line="520" w:lineRule="exact"/>
        <w:ind w:left="960" w:hanging="960" w:hangingChars="400"/>
        <w:jc w:val="left"/>
        <w:rPr>
          <w:rFonts w:ascii="宋体" w:hAnsi="宋体" w:eastAsia="宋体"/>
        </w:rPr>
      </w:pPr>
      <w:r>
        <w:rPr>
          <w:rFonts w:ascii="宋体" w:hAnsi="宋体" w:eastAsia="宋体"/>
        </w:rPr>
        <w:t xml:space="preserve">   </w:t>
      </w:r>
      <w:r>
        <w:rPr>
          <w:rFonts w:hint="eastAsia" w:ascii="宋体" w:hAnsi="宋体" w:eastAsia="宋体"/>
        </w:rPr>
        <w:t xml:space="preserve">     1.个人简介（过往作品、主要技能证明等）；</w:t>
      </w:r>
    </w:p>
    <w:p w14:paraId="3DEF37B4">
      <w:pPr>
        <w:spacing w:line="520" w:lineRule="exact"/>
        <w:ind w:left="960" w:hanging="960" w:hangingChars="400"/>
        <w:jc w:val="left"/>
        <w:rPr>
          <w:rFonts w:ascii="宋体" w:hAnsi="宋体" w:eastAsia="宋体"/>
        </w:rPr>
      </w:pPr>
      <w:r>
        <w:rPr>
          <w:rFonts w:hint="eastAsia" w:ascii="宋体" w:hAnsi="宋体" w:eastAsia="宋体"/>
        </w:rPr>
        <w:t xml:space="preserve">        2.身份证复印件；</w:t>
      </w:r>
    </w:p>
    <w:p w14:paraId="1D38BF06">
      <w:pPr>
        <w:spacing w:line="520" w:lineRule="exact"/>
        <w:ind w:left="960" w:hanging="960" w:hangingChars="400"/>
        <w:jc w:val="left"/>
        <w:rPr>
          <w:rFonts w:ascii="宋体" w:hAnsi="宋体" w:eastAsia="宋体"/>
        </w:rPr>
      </w:pPr>
      <w:r>
        <w:rPr>
          <w:rFonts w:hint="eastAsia" w:ascii="宋体" w:hAnsi="宋体" w:eastAsia="宋体"/>
        </w:rPr>
        <w:t xml:space="preserve">        3.其他按项目需求应提供的资料。</w:t>
      </w:r>
    </w:p>
    <w:p w14:paraId="2504F95C">
      <w:pPr>
        <w:spacing w:line="520" w:lineRule="exact"/>
        <w:ind w:left="960" w:hanging="960" w:hangingChars="400"/>
        <w:jc w:val="left"/>
        <w:rPr>
          <w:rFonts w:ascii="宋体" w:hAnsi="宋体" w:eastAsia="宋体"/>
        </w:rPr>
      </w:pPr>
      <w:r>
        <w:rPr>
          <w:rFonts w:hint="eastAsia" w:ascii="宋体" w:hAnsi="宋体" w:eastAsia="宋体"/>
        </w:rPr>
        <w:t>第八条  符合招标条件但具有下列情况之一的，可不采用招标方式，由经办部门提出建议方式并书面报领导审批：</w:t>
      </w:r>
    </w:p>
    <w:p w14:paraId="4ADF1065">
      <w:pPr>
        <w:spacing w:line="520" w:lineRule="exact"/>
        <w:ind w:left="960" w:hanging="960" w:hangingChars="400"/>
        <w:jc w:val="left"/>
        <w:rPr>
          <w:rFonts w:ascii="宋体" w:hAnsi="宋体" w:eastAsia="宋体"/>
        </w:rPr>
      </w:pPr>
      <w:r>
        <w:rPr>
          <w:rFonts w:hint="eastAsia" w:ascii="宋体" w:hAnsi="宋体" w:eastAsia="宋体"/>
        </w:rPr>
        <w:t>1.承包商、供应商或者服务提供者少于两家，不能形成有效竞争的；</w:t>
      </w:r>
    </w:p>
    <w:p w14:paraId="6A84C197">
      <w:pPr>
        <w:spacing w:line="520" w:lineRule="exact"/>
        <w:ind w:left="960" w:hanging="960" w:hangingChars="400"/>
        <w:jc w:val="left"/>
        <w:rPr>
          <w:rFonts w:ascii="宋体" w:hAnsi="宋体" w:eastAsia="宋体"/>
        </w:rPr>
      </w:pPr>
      <w:r>
        <w:rPr>
          <w:rFonts w:hint="eastAsia" w:ascii="宋体" w:hAnsi="宋体" w:eastAsia="宋体"/>
        </w:rPr>
        <w:t>2.特殊行业规定及因紧急救灾或者其他原因不适宜招标的。</w:t>
      </w:r>
    </w:p>
    <w:p w14:paraId="0203A1F7">
      <w:pPr>
        <w:spacing w:line="520" w:lineRule="exact"/>
        <w:ind w:left="960" w:hanging="960" w:hangingChars="400"/>
        <w:jc w:val="left"/>
        <w:rPr>
          <w:rFonts w:ascii="宋体" w:hAnsi="宋体" w:eastAsia="宋体"/>
        </w:rPr>
      </w:pPr>
    </w:p>
    <w:p w14:paraId="6069279E">
      <w:pPr>
        <w:spacing w:line="520" w:lineRule="exact"/>
        <w:ind w:left="960" w:hanging="960" w:hangingChars="400"/>
        <w:jc w:val="left"/>
        <w:rPr>
          <w:rFonts w:ascii="宋体" w:hAnsi="宋体" w:eastAsia="宋体"/>
        </w:rPr>
      </w:pPr>
      <w:r>
        <w:rPr>
          <w:rFonts w:hint="eastAsia" w:ascii="宋体" w:hAnsi="宋体" w:eastAsia="宋体"/>
        </w:rPr>
        <w:t>第九条 符合招标条件但具有下列情形之一的，可采用竞争性谈判方式选择供应商：</w:t>
      </w:r>
    </w:p>
    <w:p w14:paraId="3D21BCA8">
      <w:pPr>
        <w:spacing w:line="520" w:lineRule="exact"/>
        <w:ind w:left="960" w:hanging="960" w:hangingChars="400"/>
        <w:jc w:val="left"/>
        <w:rPr>
          <w:rFonts w:ascii="宋体" w:hAnsi="宋体" w:eastAsia="宋体"/>
        </w:rPr>
      </w:pPr>
      <w:r>
        <w:rPr>
          <w:rFonts w:hint="eastAsia" w:ascii="宋体" w:hAnsi="宋体" w:eastAsia="宋体"/>
        </w:rPr>
        <w:t>1.招标后没有供应商投标、没有合格标的或者重新招标因时间或经费原因未能成立的；</w:t>
      </w:r>
    </w:p>
    <w:p w14:paraId="524F44DC">
      <w:pPr>
        <w:spacing w:line="520" w:lineRule="exact"/>
        <w:ind w:left="960" w:hanging="960" w:hangingChars="400"/>
        <w:jc w:val="left"/>
        <w:rPr>
          <w:rFonts w:ascii="宋体" w:hAnsi="宋体" w:eastAsia="宋体"/>
        </w:rPr>
      </w:pPr>
      <w:r>
        <w:rPr>
          <w:rFonts w:hint="eastAsia" w:ascii="宋体" w:hAnsi="宋体" w:eastAsia="宋体"/>
        </w:rPr>
        <w:t>2.技术要求复杂或性质特殊，不能确定详细规格或具体要求的；</w:t>
      </w:r>
    </w:p>
    <w:p w14:paraId="46117EDE">
      <w:pPr>
        <w:spacing w:line="520" w:lineRule="exact"/>
        <w:ind w:left="960" w:hanging="960" w:hangingChars="400"/>
        <w:jc w:val="left"/>
        <w:rPr>
          <w:rFonts w:ascii="宋体" w:hAnsi="宋体" w:eastAsia="宋体"/>
        </w:rPr>
      </w:pPr>
      <w:r>
        <w:rPr>
          <w:rFonts w:hint="eastAsia" w:ascii="宋体" w:hAnsi="宋体" w:eastAsia="宋体"/>
        </w:rPr>
        <w:t>3.采用招标所需时间不能满足工作开展紧急需要的；</w:t>
      </w:r>
    </w:p>
    <w:p w14:paraId="283CE769">
      <w:pPr>
        <w:spacing w:line="520" w:lineRule="exact"/>
        <w:ind w:left="960" w:hanging="960" w:hangingChars="400"/>
        <w:jc w:val="left"/>
        <w:rPr>
          <w:rFonts w:ascii="宋体" w:hAnsi="宋体" w:eastAsia="宋体"/>
        </w:rPr>
      </w:pPr>
      <w:r>
        <w:rPr>
          <w:rFonts w:hint="eastAsia" w:ascii="宋体" w:hAnsi="宋体" w:eastAsia="宋体"/>
        </w:rPr>
        <w:t>4.不能事先计算出价格总额的。</w:t>
      </w:r>
    </w:p>
    <w:p w14:paraId="43867C0A">
      <w:pPr>
        <w:spacing w:line="520" w:lineRule="exact"/>
        <w:ind w:left="960" w:hanging="960" w:hangingChars="400"/>
        <w:jc w:val="left"/>
        <w:rPr>
          <w:rFonts w:ascii="宋体" w:hAnsi="宋体" w:eastAsia="宋体"/>
        </w:rPr>
      </w:pPr>
    </w:p>
    <w:p w14:paraId="19515DC2">
      <w:pPr>
        <w:spacing w:line="520" w:lineRule="exact"/>
        <w:ind w:left="960" w:hanging="960" w:hangingChars="400"/>
        <w:jc w:val="left"/>
        <w:rPr>
          <w:rFonts w:ascii="宋体" w:hAnsi="宋体" w:eastAsia="宋体"/>
        </w:rPr>
      </w:pPr>
      <w:r>
        <w:rPr>
          <w:rFonts w:hint="eastAsia" w:ascii="宋体" w:hAnsi="宋体" w:eastAsia="宋体"/>
        </w:rPr>
        <w:t>第十条 采用三方比价方式的，应遵循以下程序：</w:t>
      </w:r>
    </w:p>
    <w:p w14:paraId="618691F3">
      <w:pPr>
        <w:spacing w:line="520" w:lineRule="exact"/>
        <w:ind w:left="960" w:hanging="960" w:hangingChars="400"/>
        <w:jc w:val="left"/>
        <w:rPr>
          <w:rFonts w:ascii="宋体" w:hAnsi="宋体" w:eastAsia="宋体"/>
        </w:rPr>
      </w:pPr>
      <w:r>
        <w:rPr>
          <w:rFonts w:hint="eastAsia" w:ascii="宋体" w:hAnsi="宋体" w:eastAsia="宋体"/>
        </w:rPr>
        <w:t>（一）至少获得三家报价，并填写比价记录表；</w:t>
      </w:r>
    </w:p>
    <w:p w14:paraId="0299F325">
      <w:pPr>
        <w:spacing w:line="520" w:lineRule="exact"/>
        <w:ind w:left="960" w:hanging="960" w:hangingChars="400"/>
        <w:jc w:val="left"/>
        <w:rPr>
          <w:rFonts w:ascii="宋体" w:hAnsi="宋体" w:eastAsia="宋体"/>
        </w:rPr>
      </w:pPr>
      <w:r>
        <w:rPr>
          <w:rFonts w:hint="eastAsia" w:ascii="宋体" w:hAnsi="宋体" w:eastAsia="宋体"/>
        </w:rPr>
        <w:t>（二）评估各方的资质、方案和报价，选择性价比最优的供应商；</w:t>
      </w:r>
    </w:p>
    <w:p w14:paraId="67117A14">
      <w:pPr>
        <w:spacing w:line="520" w:lineRule="exact"/>
        <w:ind w:left="960" w:hanging="960" w:hangingChars="400"/>
        <w:jc w:val="left"/>
        <w:rPr>
          <w:rFonts w:ascii="宋体" w:hAnsi="宋体" w:eastAsia="宋体"/>
        </w:rPr>
      </w:pPr>
      <w:r>
        <w:rPr>
          <w:rFonts w:hint="eastAsia" w:ascii="宋体" w:hAnsi="宋体" w:eastAsia="宋体"/>
        </w:rPr>
        <w:t>（三）签署含报价单的书面协议作为支付时的辅助文件。</w:t>
      </w:r>
    </w:p>
    <w:p w14:paraId="24852E7B">
      <w:pPr>
        <w:spacing w:line="520" w:lineRule="exact"/>
        <w:ind w:left="960" w:hanging="960" w:hangingChars="400"/>
        <w:jc w:val="left"/>
        <w:rPr>
          <w:rFonts w:ascii="宋体" w:hAnsi="宋体" w:eastAsia="宋体"/>
        </w:rPr>
      </w:pPr>
    </w:p>
    <w:p w14:paraId="2454EDAA">
      <w:pPr>
        <w:spacing w:line="520" w:lineRule="exact"/>
        <w:ind w:left="960" w:hanging="960" w:hangingChars="400"/>
        <w:jc w:val="left"/>
        <w:rPr>
          <w:rFonts w:ascii="宋体" w:hAnsi="宋体" w:eastAsia="宋体"/>
        </w:rPr>
      </w:pPr>
      <w:r>
        <w:rPr>
          <w:rFonts w:hint="eastAsia" w:ascii="宋体" w:hAnsi="宋体" w:eastAsia="宋体"/>
        </w:rPr>
        <w:t>第十一条 采用竞争性谈判方式的，应遵循下列程序：</w:t>
      </w:r>
    </w:p>
    <w:p w14:paraId="692E6973">
      <w:pPr>
        <w:spacing w:line="520" w:lineRule="exact"/>
        <w:ind w:left="960" w:hanging="960" w:hangingChars="400"/>
        <w:jc w:val="left"/>
        <w:rPr>
          <w:rFonts w:ascii="宋体" w:hAnsi="宋体" w:eastAsia="宋体"/>
        </w:rPr>
      </w:pPr>
      <w:r>
        <w:rPr>
          <w:rFonts w:hint="eastAsia" w:ascii="宋体" w:hAnsi="宋体" w:eastAsia="宋体"/>
        </w:rPr>
        <w:t>（一）成立谈判小组。谈判小组由经办部门代表、相关分管领导共三人组成。若项目涉及特殊技术或行业要求，应邀请相关专家参与谈判小组工作。</w:t>
      </w:r>
    </w:p>
    <w:p w14:paraId="349040B0">
      <w:pPr>
        <w:spacing w:line="520" w:lineRule="exact"/>
        <w:ind w:left="960" w:hanging="960" w:hangingChars="400"/>
        <w:jc w:val="left"/>
        <w:rPr>
          <w:rFonts w:ascii="宋体" w:hAnsi="宋体" w:eastAsia="宋体"/>
        </w:rPr>
      </w:pPr>
      <w:r>
        <w:rPr>
          <w:rFonts w:hint="eastAsia" w:ascii="宋体" w:hAnsi="宋体" w:eastAsia="宋体"/>
        </w:rPr>
        <w:t>（二）制定谈判文件。谈判文件应当明确谈判程序、谈判内容、合同草案的条款以及评定成交的标准等事项。</w:t>
      </w:r>
    </w:p>
    <w:p w14:paraId="1D0E6699">
      <w:pPr>
        <w:spacing w:line="520" w:lineRule="exact"/>
        <w:ind w:left="960" w:hanging="960" w:hangingChars="400"/>
        <w:jc w:val="left"/>
        <w:rPr>
          <w:rFonts w:ascii="宋体" w:hAnsi="宋体" w:eastAsia="宋体"/>
        </w:rPr>
      </w:pPr>
      <w:r>
        <w:rPr>
          <w:rFonts w:hint="eastAsia" w:ascii="宋体" w:hAnsi="宋体" w:eastAsia="宋体"/>
        </w:rPr>
        <w:t>（三）确定邀请参加谈判的供应商名单并向供应商提供谈判文件。需要邀请不少于三家符合资格条件的供应商参加谈判。</w:t>
      </w:r>
    </w:p>
    <w:p w14:paraId="4C82BA12">
      <w:pPr>
        <w:spacing w:line="520" w:lineRule="exact"/>
        <w:ind w:left="960" w:hanging="960" w:hangingChars="400"/>
        <w:jc w:val="left"/>
        <w:rPr>
          <w:rFonts w:ascii="宋体" w:hAnsi="宋体" w:eastAsia="宋体"/>
        </w:rPr>
      </w:pPr>
      <w:r>
        <w:rPr>
          <w:rFonts w:hint="eastAsia" w:ascii="宋体" w:hAnsi="宋体" w:eastAsia="宋体"/>
        </w:rPr>
        <w:t>（四）谈判。谈判小组所有成员集中与单一供应商分别进行谈判。在谈判中，谈判的任何一方不得透露与谈判有关的其他供应商的技术资料、价格和其他信息。谈判文件有实质性变动的，经办部门应当以书面形式通知所有参加谈判的供应商。</w:t>
      </w:r>
    </w:p>
    <w:p w14:paraId="4E29311C">
      <w:pPr>
        <w:spacing w:line="520" w:lineRule="exact"/>
        <w:ind w:left="960" w:hanging="960" w:hangingChars="400"/>
        <w:jc w:val="left"/>
        <w:rPr>
          <w:rFonts w:ascii="Songti SC Regular" w:hAnsi="Songti SC Regular" w:eastAsia="Songti SC Regular" w:cs="Songti SC Regular"/>
        </w:rPr>
      </w:pPr>
      <w:r>
        <w:rPr>
          <w:rFonts w:hint="eastAsia" w:ascii="Songti SC Regular" w:hAnsi="Songti SC Regular" w:eastAsia="Songti SC Regular" w:cs="Songti SC Regular"/>
        </w:rPr>
        <w:t>（五）确定成交供应商。谈判结束后，谈判小组应当要求所有参加谈判的供应商在规定时间内提供最终设计方案或解决方案及最后报价。谈判小组根据符合采购需求、质量和服务相等且报价最低的原则确定成交供应商，并将结果通知所有参加谈判的供应商。</w:t>
      </w:r>
    </w:p>
    <w:p w14:paraId="1D4DE095">
      <w:pPr>
        <w:pStyle w:val="15"/>
        <w:spacing w:line="480" w:lineRule="atLeast"/>
        <w:ind w:left="960" w:hanging="960" w:hangingChars="400"/>
        <w:rPr>
          <w:rFonts w:ascii="Songti SC Regular" w:hAnsi="Songti SC Regular" w:eastAsia="Songti SC Regular" w:cs="Songti SC Regular"/>
          <w:sz w:val="24"/>
          <w:szCs w:val="24"/>
        </w:rPr>
      </w:pPr>
      <w:r>
        <w:rPr>
          <w:rFonts w:hint="eastAsia" w:ascii="Songti SC Regular" w:hAnsi="Songti SC Regular" w:eastAsia="Songti SC Regular" w:cs="Songti SC Regular"/>
          <w:bCs/>
          <w:sz w:val="24"/>
          <w:szCs w:val="24"/>
        </w:rPr>
        <w:t>第十二条</w:t>
      </w:r>
      <w:r>
        <w:rPr>
          <w:rFonts w:hint="eastAsia" w:ascii="Songti SC Regular" w:hAnsi="Songti SC Regular" w:eastAsia="Songti SC Regular" w:cs="Songti SC Regular"/>
          <w:b/>
          <w:bCs/>
          <w:sz w:val="24"/>
          <w:szCs w:val="24"/>
        </w:rPr>
        <w:t xml:space="preserve"> </w:t>
      </w:r>
      <w:r>
        <w:rPr>
          <w:rFonts w:hint="eastAsia" w:ascii="Songti SC Regular" w:hAnsi="Songti SC Regular" w:eastAsia="Songti SC Regular" w:cs="Songti SC Regular"/>
          <w:sz w:val="24"/>
          <w:szCs w:val="24"/>
        </w:rPr>
        <w:t>采用招标方式的，应遵循以下程序：</w:t>
      </w:r>
    </w:p>
    <w:p w14:paraId="4FAD6CB3">
      <w:pPr>
        <w:pStyle w:val="15"/>
        <w:spacing w:line="480" w:lineRule="atLeast"/>
        <w:ind w:left="960" w:leftChars="4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（一）成立招标小组。招标小组由经办部门代表、行政部门和相关分管领导不少于三人的单数组成。若项目涉及特殊技术或行业要求，应邀请相关专家参与招标小组工作。</w:t>
      </w:r>
    </w:p>
    <w:p w14:paraId="4B2FEE30">
      <w:pPr>
        <w:pStyle w:val="15"/>
        <w:spacing w:line="480" w:lineRule="atLeast"/>
        <w:ind w:left="960" w:leftChars="4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（二）制定招标文件。须包含招标公告（或投标邀请）、投标人须知、评标标准和方法、合同条款及格式、项目标的的技术标准和要求、投标文件格式等。</w:t>
      </w:r>
    </w:p>
    <w:p w14:paraId="08D17524">
      <w:pPr>
        <w:pStyle w:val="15"/>
        <w:spacing w:line="480" w:lineRule="atLeast"/>
        <w:ind w:left="960" w:leftChars="4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三）招标文件发布及答疑。如采用公开招标的方式须在基金会的媒介平台上发布相关招标公告，并向在招标公告规定的时间内（不少于5个日历日）报名参加本项目的潜在投标人提供招标文件；如采用邀请招标的方式，须提前确定邀请名单（不少于三家），并向有意愿参加本项目的潜在供应商提供招标文件。</w:t>
      </w:r>
    </w:p>
    <w:p w14:paraId="6687A76A">
      <w:pPr>
        <w:pStyle w:val="15"/>
        <w:spacing w:line="480" w:lineRule="atLeast"/>
        <w:ind w:left="960" w:leftChars="4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（四）投标资料收集。须在规定时间内收集投标单位资料并进行整理。</w:t>
      </w:r>
    </w:p>
    <w:p w14:paraId="7D2E7654">
      <w:pPr>
        <w:pStyle w:val="15"/>
        <w:spacing w:line="480" w:lineRule="atLeast"/>
        <w:ind w:left="960" w:leftChars="4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五）招标评审会。邀请符合招标文件要求的供应商(不少于三家)进行一对一当面讲标，根据招标文件规定的评标标准和方法对供应商进行综合评审。在招标过程中，不得透露与招标有关的其他供应商的技术资料、价格和其他信息。</w:t>
      </w:r>
    </w:p>
    <w:p w14:paraId="7A7E7923">
      <w:pPr>
        <w:pStyle w:val="15"/>
        <w:spacing w:line="480" w:lineRule="atLeast"/>
        <w:ind w:left="960" w:leftChars="400"/>
        <w:rPr>
          <w:rFonts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（六）确定供应商。评标小组综合符合需求、质量和服务相等且报价最低的原则确定成交供应商，并将结果通知所有参加招标的供应商。</w:t>
      </w:r>
    </w:p>
    <w:p w14:paraId="60FA2109">
      <w:pPr>
        <w:spacing w:line="520" w:lineRule="exact"/>
        <w:jc w:val="left"/>
        <w:rPr>
          <w:rFonts w:ascii="Songti SC Regular" w:hAnsi="Songti SC Regular" w:eastAsia="Songti SC Regular" w:cs="Songti SC Regular"/>
        </w:rPr>
      </w:pPr>
    </w:p>
    <w:p w14:paraId="76D230B4">
      <w:pPr>
        <w:spacing w:line="520" w:lineRule="exact"/>
        <w:jc w:val="center"/>
        <w:rPr>
          <w:rFonts w:ascii="Songti SC Regular" w:hAnsi="Songti SC Regular" w:eastAsia="Songti SC Regular" w:cs="Songti SC Regular"/>
        </w:rPr>
      </w:pPr>
      <w:bookmarkStart w:id="306" w:name="_Toc42139499_WPSOffice_Level1"/>
      <w:bookmarkStart w:id="307" w:name="_Toc760539927_WPSOffice_Level1"/>
      <w:r>
        <w:rPr>
          <w:rFonts w:hint="eastAsia" w:ascii="Songti SC Regular" w:hAnsi="Songti SC Regular" w:eastAsia="Songti SC Regular" w:cs="Songti SC Regular"/>
        </w:rPr>
        <w:t>第三章 供应商的日常管理与监督</w:t>
      </w:r>
      <w:bookmarkEnd w:id="306"/>
      <w:bookmarkEnd w:id="307"/>
    </w:p>
    <w:p w14:paraId="78A372CE">
      <w:pPr>
        <w:spacing w:line="520" w:lineRule="exact"/>
        <w:ind w:left="960" w:hanging="960" w:hangingChars="400"/>
        <w:jc w:val="left"/>
        <w:rPr>
          <w:rFonts w:ascii="Songti SC Regular" w:hAnsi="Songti SC Regular" w:eastAsia="Songti SC Regular" w:cs="Songti SC Regular"/>
        </w:rPr>
      </w:pPr>
      <w:r>
        <w:rPr>
          <w:rFonts w:hint="eastAsia" w:ascii="Songti SC Regular" w:hAnsi="Songti SC Regular" w:eastAsia="Songti SC Regular" w:cs="Songti SC Regular"/>
        </w:rPr>
        <w:t>第十三条  确定项目具体供应商后应与其签订书面协议。项目经办人应对接供应商提供物资或服务期间的沟通，确保供应商依书面协议按时保质完成相应服务。</w:t>
      </w:r>
    </w:p>
    <w:p w14:paraId="31784E22">
      <w:pPr>
        <w:spacing w:line="520" w:lineRule="exact"/>
        <w:ind w:left="960" w:hanging="960" w:hangingChars="400"/>
        <w:jc w:val="left"/>
        <w:rPr>
          <w:rFonts w:ascii="Songti SC Regular" w:hAnsi="Songti SC Regular" w:eastAsia="Songti SC Regular" w:cs="Songti SC Regular"/>
        </w:rPr>
      </w:pPr>
      <w:r>
        <w:rPr>
          <w:rFonts w:hint="eastAsia" w:ascii="Songti SC Regular" w:hAnsi="Songti SC Regular" w:eastAsia="Songti SC Regular" w:cs="Songti SC Regular"/>
        </w:rPr>
        <w:t>第十四条  服务验收完成后，项目经办人应及时记录供应商服务效果等记录，包括但不限于品质、交期、反馈和日常配合等方面的数据。相关记录由经办部门统一供给综合部保存。</w:t>
      </w:r>
    </w:p>
    <w:p w14:paraId="6F5A4D95">
      <w:pPr>
        <w:spacing w:line="520" w:lineRule="exact"/>
        <w:ind w:left="960" w:hanging="960" w:hangingChars="400"/>
        <w:jc w:val="left"/>
        <w:rPr>
          <w:rFonts w:ascii="Songti SC Regular" w:hAnsi="Songti SC Regular" w:eastAsia="Songti SC Regular" w:cs="Songti SC Regular"/>
        </w:rPr>
      </w:pPr>
      <w:r>
        <w:rPr>
          <w:rFonts w:hint="eastAsia" w:ascii="Songti SC Regular" w:hAnsi="Songti SC Regular" w:eastAsia="Songti SC Regular" w:cs="Songti SC Regular"/>
        </w:rPr>
        <w:t>第十五条  综合部负责组织对供应商的年度评价。年度评价是指以年度为周期对供应商做综合评估，每年年底一次。</w:t>
      </w:r>
    </w:p>
    <w:p w14:paraId="765F4828">
      <w:pPr>
        <w:spacing w:line="520" w:lineRule="exact"/>
        <w:ind w:left="960" w:hanging="960" w:hangingChars="400"/>
        <w:jc w:val="left"/>
        <w:rPr>
          <w:rFonts w:ascii="Songti SC Regular" w:hAnsi="Songti SC Regular" w:eastAsia="Songti SC Regular" w:cs="Songti SC Regular"/>
        </w:rPr>
      </w:pPr>
      <w:r>
        <w:rPr>
          <w:rFonts w:hint="eastAsia" w:ascii="Songti SC Regular" w:hAnsi="Songti SC Regular" w:eastAsia="Songti SC Regular" w:cs="Songti SC Regular"/>
        </w:rPr>
        <w:t xml:space="preserve">        综合部根据基金会已合作过的优质的供应商名单建立《战略供应商目录》，并结合各部门对供应商的评价，对于战略供应商给予保留或淘汰其在《战略供应商目录》的资格认定。年度供应商评价期间，可以新增战略供应商。新增战略供应商需满足以下条件：</w:t>
      </w:r>
    </w:p>
    <w:p w14:paraId="406030A0">
      <w:pPr>
        <w:spacing w:line="520" w:lineRule="exact"/>
        <w:jc w:val="left"/>
        <w:rPr>
          <w:rFonts w:ascii="Songti SC Regular" w:hAnsi="Songti SC Regular" w:eastAsia="Songti SC Regular" w:cs="Songti SC Regular"/>
        </w:rPr>
      </w:pPr>
      <w:r>
        <w:rPr>
          <w:rFonts w:hint="eastAsia" w:ascii="Songti SC Regular" w:hAnsi="Songti SC Regular" w:eastAsia="Songti SC Regular" w:cs="Songti SC Regular"/>
        </w:rPr>
        <w:t xml:space="preserve">        （一）至少与基金会合作两次；</w:t>
      </w:r>
    </w:p>
    <w:p w14:paraId="45363AF9">
      <w:pPr>
        <w:spacing w:line="520" w:lineRule="exact"/>
        <w:jc w:val="left"/>
        <w:rPr>
          <w:rFonts w:ascii="Songti SC Regular" w:hAnsi="Songti SC Regular" w:eastAsia="Songti SC Regular" w:cs="Songti SC Regular"/>
        </w:rPr>
      </w:pPr>
      <w:r>
        <w:rPr>
          <w:rFonts w:hint="eastAsia" w:ascii="Songti SC Regular" w:hAnsi="Songti SC Regular" w:eastAsia="Songti SC Regular" w:cs="Songti SC Regular"/>
        </w:rPr>
        <w:t xml:space="preserve">        （二）每次都能达到基金会相应物资采购或服务提供的要求；</w:t>
      </w:r>
    </w:p>
    <w:p w14:paraId="4C813BEC">
      <w:pPr>
        <w:spacing w:line="520" w:lineRule="exact"/>
        <w:jc w:val="left"/>
        <w:rPr>
          <w:rFonts w:ascii="Songti SC Regular" w:hAnsi="Songti SC Regular" w:eastAsia="Songti SC Regular" w:cs="Songti SC Regular"/>
        </w:rPr>
      </w:pPr>
      <w:r>
        <w:rPr>
          <w:rFonts w:hint="eastAsia" w:ascii="Songti SC Regular" w:hAnsi="Songti SC Regular" w:eastAsia="Songti SC Regular" w:cs="Songti SC Regular"/>
        </w:rPr>
        <w:t xml:space="preserve">        （三）经办部门一致评价该供应商可继续长期合作。</w:t>
      </w:r>
    </w:p>
    <w:p w14:paraId="14E4A1EE">
      <w:pPr>
        <w:spacing w:line="520" w:lineRule="exact"/>
        <w:jc w:val="left"/>
        <w:rPr>
          <w:rFonts w:ascii="Songti SC Regular" w:hAnsi="Songti SC Regular" w:eastAsia="Songti SC Regular" w:cs="Songti SC Regular"/>
        </w:rPr>
      </w:pPr>
    </w:p>
    <w:p w14:paraId="2224EF18">
      <w:pPr>
        <w:spacing w:line="520" w:lineRule="exact"/>
        <w:jc w:val="center"/>
        <w:rPr>
          <w:rFonts w:ascii="Songti SC Regular" w:hAnsi="Songti SC Regular" w:eastAsia="Songti SC Regular" w:cs="Songti SC Regular"/>
        </w:rPr>
      </w:pPr>
      <w:bookmarkStart w:id="308" w:name="_Toc1716439830_WPSOffice_Level1"/>
      <w:bookmarkStart w:id="309" w:name="_Toc571886145_WPSOffice_Level1"/>
      <w:r>
        <w:rPr>
          <w:rFonts w:hint="eastAsia" w:ascii="Songti SC Regular" w:hAnsi="Songti SC Regular" w:eastAsia="Songti SC Regular" w:cs="Songti SC Regular"/>
        </w:rPr>
        <w:t>第四章 部门职责</w:t>
      </w:r>
      <w:bookmarkEnd w:id="308"/>
      <w:bookmarkEnd w:id="309"/>
    </w:p>
    <w:p w14:paraId="7DF53811">
      <w:pPr>
        <w:spacing w:line="520" w:lineRule="exact"/>
        <w:ind w:left="1080" w:hanging="1080" w:hangingChars="450"/>
        <w:jc w:val="left"/>
        <w:rPr>
          <w:rFonts w:ascii="Songti SC Regular" w:hAnsi="Songti SC Regular" w:eastAsia="Songti SC Regular" w:cs="Songti SC Regular"/>
        </w:rPr>
      </w:pPr>
      <w:r>
        <w:rPr>
          <w:rFonts w:hint="eastAsia" w:ascii="Songti SC Regular" w:hAnsi="Songti SC Regular" w:eastAsia="Songti SC Regular" w:cs="Songti SC Regular"/>
        </w:rPr>
        <w:t>第十六条 综合部作为供应商的归口管理职责部门，应当负责供应商电子及纸质档案管理、供应商服务效果记录、战略供应商年度评价和更新《战略供应商目录》。</w:t>
      </w:r>
    </w:p>
    <w:p w14:paraId="4374E7E6">
      <w:pPr>
        <w:spacing w:line="520" w:lineRule="exact"/>
        <w:ind w:left="1080" w:hanging="1080" w:hangingChars="450"/>
        <w:jc w:val="left"/>
        <w:rPr>
          <w:rFonts w:ascii="Songti SC Regular" w:hAnsi="Songti SC Regular" w:eastAsia="Songti SC Regular" w:cs="Songti SC Regular"/>
        </w:rPr>
      </w:pPr>
      <w:r>
        <w:rPr>
          <w:rFonts w:hint="eastAsia" w:ascii="Songti SC Regular" w:hAnsi="Songti SC Regular" w:eastAsia="Songti SC Regular" w:cs="Songti SC Regular"/>
        </w:rPr>
        <w:t>第十七条 各经办部门负责收集供应商信息，监督管理供应商日常工作开展，并及时做好供应商服务结束后的评价工作。如需公开招标供应商，经办部门还需负责招标相关工作执行。</w:t>
      </w:r>
    </w:p>
    <w:p w14:paraId="76F148FB">
      <w:pPr>
        <w:spacing w:line="520" w:lineRule="exact"/>
        <w:ind w:left="1080" w:hanging="1080" w:hangingChars="450"/>
        <w:jc w:val="left"/>
        <w:rPr>
          <w:rFonts w:ascii="Songti SC Regular" w:hAnsi="Songti SC Regular" w:eastAsia="Songti SC Regular" w:cs="Songti SC Regular"/>
        </w:rPr>
      </w:pPr>
    </w:p>
    <w:p w14:paraId="2189AAA4">
      <w:pPr>
        <w:spacing w:line="520" w:lineRule="exact"/>
        <w:ind w:left="1080" w:hanging="1080" w:hangingChars="450"/>
        <w:jc w:val="center"/>
        <w:rPr>
          <w:rFonts w:ascii="Songti SC Regular" w:hAnsi="Songti SC Regular" w:eastAsia="Songti SC Regular" w:cs="Songti SC Regular"/>
        </w:rPr>
      </w:pPr>
      <w:bookmarkStart w:id="310" w:name="_Toc1701118690_WPSOffice_Level1"/>
      <w:bookmarkStart w:id="311" w:name="_Toc1056392659_WPSOffice_Level1"/>
      <w:r>
        <w:rPr>
          <w:rFonts w:hint="eastAsia" w:ascii="Songti SC Regular" w:hAnsi="Songti SC Regular" w:eastAsia="Songti SC Regular" w:cs="Songti SC Regular"/>
        </w:rPr>
        <w:t>第五章 附则</w:t>
      </w:r>
      <w:bookmarkEnd w:id="310"/>
      <w:bookmarkEnd w:id="311"/>
    </w:p>
    <w:p w14:paraId="396406F5">
      <w:pPr>
        <w:spacing w:line="520" w:lineRule="exact"/>
        <w:ind w:left="1080" w:hanging="1080" w:hangingChars="450"/>
        <w:jc w:val="left"/>
        <w:rPr>
          <w:rFonts w:ascii="Songti SC Regular" w:hAnsi="Songti SC Regular" w:eastAsia="Songti SC Regular" w:cs="Songti SC Regular"/>
        </w:rPr>
      </w:pPr>
      <w:r>
        <w:rPr>
          <w:rFonts w:hint="eastAsia" w:ascii="Songti SC Regular" w:hAnsi="Songti SC Regular" w:eastAsia="Songti SC Regular" w:cs="Songti SC Regular"/>
        </w:rPr>
        <w:t>第十八条 本制度解释权归属基金会理事会。经基金会理事会审议通过，自公布之日起实施执行。</w:t>
      </w:r>
    </w:p>
    <w:p w14:paraId="4D6BB361">
      <w:pPr>
        <w:spacing w:line="520" w:lineRule="exact"/>
        <w:ind w:left="1080" w:hanging="1080" w:hangingChars="450"/>
        <w:jc w:val="left"/>
        <w:rPr>
          <w:rFonts w:ascii="Songti SC Regular" w:hAnsi="Songti SC Regular" w:eastAsia="Songti SC Regular" w:cs="Songti SC Regular"/>
        </w:rPr>
      </w:pPr>
    </w:p>
    <w:p w14:paraId="37CD69EE">
      <w:pPr>
        <w:spacing w:line="520" w:lineRule="exact"/>
        <w:ind w:left="1080" w:hanging="1080" w:hangingChars="450"/>
        <w:jc w:val="left"/>
        <w:rPr>
          <w:rFonts w:ascii="Songti SC Regular" w:hAnsi="Songti SC Regular" w:eastAsia="Songti SC Regular" w:cs="Songti SC Regular"/>
        </w:rPr>
      </w:pPr>
    </w:p>
    <w:p w14:paraId="05DAC0B3">
      <w:pPr>
        <w:spacing w:line="520" w:lineRule="exact"/>
        <w:ind w:left="1080" w:hanging="1080" w:hangingChars="450"/>
        <w:jc w:val="left"/>
        <w:rPr>
          <w:rFonts w:ascii="Songti SC Regular" w:hAnsi="Songti SC Regular" w:eastAsia="Songti SC Regular" w:cs="Songti SC Regular"/>
        </w:rPr>
      </w:pPr>
    </w:p>
    <w:p w14:paraId="58B349CA">
      <w:pPr>
        <w:spacing w:line="520" w:lineRule="exact"/>
        <w:ind w:left="1080" w:hanging="1080" w:hangingChars="450"/>
        <w:jc w:val="left"/>
        <w:rPr>
          <w:rFonts w:ascii="Songti SC Regular" w:hAnsi="Songti SC Regular" w:eastAsia="Songti SC Regular" w:cs="Songti SC Regular"/>
        </w:rPr>
      </w:pPr>
    </w:p>
    <w:p w14:paraId="218A75AE">
      <w:pPr>
        <w:spacing w:line="520" w:lineRule="exact"/>
        <w:ind w:left="1080" w:hanging="1080" w:hangingChars="450"/>
        <w:jc w:val="left"/>
        <w:rPr>
          <w:rFonts w:ascii="Songti SC Regular" w:hAnsi="Songti SC Regular" w:eastAsia="Songti SC Regular" w:cs="Songti SC Regular"/>
        </w:rPr>
      </w:pPr>
    </w:p>
    <w:p w14:paraId="2C44B053">
      <w:pPr>
        <w:spacing w:line="520" w:lineRule="exact"/>
        <w:ind w:left="1080" w:hanging="1080" w:hangingChars="450"/>
        <w:jc w:val="left"/>
        <w:rPr>
          <w:rFonts w:ascii="Songti SC Regular" w:hAnsi="Songti SC Regular" w:eastAsia="Songti SC Regular" w:cs="Songti SC Regular"/>
        </w:rPr>
      </w:pPr>
    </w:p>
    <w:p w14:paraId="54307232">
      <w:pPr>
        <w:spacing w:line="360" w:lineRule="auto"/>
        <w:jc w:val="center"/>
        <w:rPr>
          <w:rFonts w:ascii="Songti SC" w:hAnsi="Songti SC" w:eastAsia="Songti SC"/>
          <w:sz w:val="32"/>
        </w:rPr>
      </w:pPr>
      <w:r>
        <w:rPr>
          <w:rFonts w:hint="eastAsia" w:eastAsia="Songti SC"/>
          <w:b/>
          <w:kern w:val="44"/>
          <w:sz w:val="32"/>
        </w:rPr>
        <w:t>北京中致儿童关爱基金会新闻发言人制度</w:t>
      </w:r>
    </w:p>
    <w:p w14:paraId="6199DB07">
      <w:pPr>
        <w:spacing w:line="360" w:lineRule="auto"/>
        <w:rPr>
          <w:rFonts w:ascii="Songti SC" w:hAnsi="Songti SC" w:eastAsia="Songti SC"/>
          <w:sz w:val="32"/>
        </w:rPr>
      </w:pPr>
    </w:p>
    <w:p w14:paraId="667486D7">
      <w:pPr>
        <w:spacing w:line="360" w:lineRule="auto"/>
        <w:ind w:firstLine="480" w:firstLineChars="200"/>
        <w:rPr>
          <w:rFonts w:ascii="Songti SC" w:hAnsi="Songti SC" w:eastAsia="Songti SC"/>
          <w:sz w:val="24"/>
        </w:rPr>
      </w:pPr>
      <w:r>
        <w:rPr>
          <w:rFonts w:hint="eastAsia" w:ascii="Songti SC" w:hAnsi="Songti SC" w:eastAsia="Songti SC"/>
          <w:sz w:val="24"/>
        </w:rPr>
        <w:t>为进一步加强</w:t>
      </w:r>
      <w:r>
        <w:rPr>
          <w:rFonts w:hint="eastAsia" w:ascii="Songti SC" w:hAnsi="Songti SC" w:eastAsia="Songti SC"/>
          <w:sz w:val="24"/>
          <w:lang w:eastAsia="zh-Hans"/>
        </w:rPr>
        <w:t>北京中致儿童关爱基金会</w:t>
      </w:r>
      <w:r>
        <w:rPr>
          <w:rFonts w:ascii="Songti SC" w:hAnsi="Songti SC" w:eastAsia="Songti SC"/>
          <w:sz w:val="24"/>
          <w:lang w:eastAsia="zh-Hans"/>
        </w:rPr>
        <w:t>（</w:t>
      </w:r>
      <w:r>
        <w:rPr>
          <w:rFonts w:hint="eastAsia" w:ascii="Songti SC" w:hAnsi="Songti SC" w:eastAsia="Songti SC"/>
          <w:sz w:val="24"/>
          <w:lang w:eastAsia="zh-Hans"/>
        </w:rPr>
        <w:t>下称基金会</w:t>
      </w:r>
      <w:r>
        <w:rPr>
          <w:rFonts w:ascii="Songti SC" w:hAnsi="Songti SC" w:eastAsia="Songti SC"/>
          <w:sz w:val="24"/>
          <w:lang w:eastAsia="zh-Hans"/>
        </w:rPr>
        <w:t>）</w:t>
      </w:r>
      <w:r>
        <w:rPr>
          <w:rFonts w:hint="eastAsia" w:ascii="Songti SC" w:hAnsi="Songti SC" w:eastAsia="Songti SC"/>
          <w:sz w:val="24"/>
        </w:rPr>
        <w:t>和社会的沟通联系，</w:t>
      </w:r>
      <w:r>
        <w:rPr>
          <w:rFonts w:ascii="Songti SC" w:hAnsi="Songti SC" w:eastAsia="Songti SC"/>
          <w:sz w:val="24"/>
        </w:rPr>
        <w:t>做好</w:t>
      </w:r>
      <w:r>
        <w:rPr>
          <w:rFonts w:hint="eastAsia" w:ascii="Songti SC" w:hAnsi="Songti SC" w:eastAsia="Songti SC"/>
          <w:sz w:val="24"/>
          <w:lang w:eastAsia="zh-Hans"/>
        </w:rPr>
        <w:t>基金会</w:t>
      </w:r>
      <w:r>
        <w:rPr>
          <w:rFonts w:hint="eastAsia" w:ascii="Songti SC" w:hAnsi="Songti SC" w:eastAsia="Songti SC"/>
          <w:sz w:val="24"/>
        </w:rPr>
        <w:t>新</w:t>
      </w:r>
      <w:r>
        <w:rPr>
          <w:rFonts w:ascii="Songti SC" w:hAnsi="Songti SC" w:eastAsia="Songti SC"/>
          <w:sz w:val="24"/>
        </w:rPr>
        <w:t>闻舆论工作，</w:t>
      </w:r>
      <w:r>
        <w:rPr>
          <w:rFonts w:hint="eastAsia" w:ascii="Songti SC" w:hAnsi="Songti SC" w:eastAsia="Songti SC"/>
          <w:sz w:val="24"/>
        </w:rPr>
        <w:t>加强</w:t>
      </w:r>
      <w:r>
        <w:rPr>
          <w:rFonts w:hint="eastAsia" w:ascii="Songti SC" w:hAnsi="Songti SC" w:eastAsia="Songti SC"/>
          <w:sz w:val="24"/>
          <w:lang w:eastAsia="zh-Hans"/>
        </w:rPr>
        <w:t>基金会</w:t>
      </w:r>
      <w:r>
        <w:rPr>
          <w:rFonts w:hint="eastAsia" w:ascii="Songti SC" w:hAnsi="Songti SC" w:eastAsia="Songti SC"/>
          <w:sz w:val="24"/>
        </w:rPr>
        <w:t>的</w:t>
      </w:r>
      <w:r>
        <w:rPr>
          <w:rFonts w:ascii="Songti SC" w:hAnsi="Songti SC" w:eastAsia="Songti SC"/>
          <w:sz w:val="24"/>
        </w:rPr>
        <w:t>信息公开，树立</w:t>
      </w:r>
      <w:r>
        <w:rPr>
          <w:rFonts w:hint="eastAsia" w:ascii="Songti SC" w:hAnsi="Songti SC" w:eastAsia="Songti SC"/>
          <w:sz w:val="24"/>
          <w:lang w:eastAsia="zh-Hans"/>
        </w:rPr>
        <w:t>基金会</w:t>
      </w:r>
      <w:r>
        <w:rPr>
          <w:rFonts w:hint="eastAsia" w:ascii="Songti SC" w:hAnsi="Songti SC" w:eastAsia="Songti SC"/>
          <w:sz w:val="24"/>
        </w:rPr>
        <w:t>的</w:t>
      </w:r>
      <w:r>
        <w:rPr>
          <w:rFonts w:ascii="Songti SC" w:hAnsi="Songti SC" w:eastAsia="Songti SC"/>
          <w:sz w:val="24"/>
        </w:rPr>
        <w:t>良好</w:t>
      </w:r>
      <w:r>
        <w:rPr>
          <w:rFonts w:hint="eastAsia" w:ascii="Songti SC" w:hAnsi="Songti SC" w:eastAsia="Songti SC"/>
          <w:sz w:val="24"/>
        </w:rPr>
        <w:t>社会</w:t>
      </w:r>
      <w:r>
        <w:rPr>
          <w:rFonts w:ascii="Songti SC" w:hAnsi="Songti SC" w:eastAsia="Songti SC"/>
          <w:sz w:val="24"/>
        </w:rPr>
        <w:t>形象</w:t>
      </w:r>
      <w:r>
        <w:rPr>
          <w:rFonts w:hint="eastAsia" w:ascii="Songti SC" w:hAnsi="Songti SC" w:eastAsia="Songti SC"/>
          <w:sz w:val="24"/>
        </w:rPr>
        <w:t>，依据《中华人民共和国慈善法》/《基金会管理条例》/《社会团体登记管理条例》/《民办非企业单位登记管理暂行条例》及相关法律法规以及</w:t>
      </w:r>
      <w:r>
        <w:rPr>
          <w:rFonts w:hint="eastAsia" w:ascii="Songti SC" w:hAnsi="Songti SC" w:eastAsia="Songti SC"/>
          <w:sz w:val="24"/>
          <w:lang w:eastAsia="zh-Hans"/>
        </w:rPr>
        <w:t>基金会</w:t>
      </w:r>
      <w:r>
        <w:rPr>
          <w:rFonts w:hint="eastAsia" w:ascii="Songti SC" w:hAnsi="Songti SC" w:eastAsia="Songti SC"/>
          <w:sz w:val="24"/>
        </w:rPr>
        <w:t>章程，制定本制度。</w:t>
      </w:r>
    </w:p>
    <w:p w14:paraId="1F65C425">
      <w:pPr>
        <w:spacing w:line="360" w:lineRule="auto"/>
        <w:ind w:firstLine="480" w:firstLineChars="200"/>
        <w:rPr>
          <w:rFonts w:ascii="Songti SC" w:hAnsi="Songti SC" w:eastAsia="Songti SC"/>
          <w:sz w:val="24"/>
        </w:rPr>
      </w:pPr>
      <w:r>
        <w:rPr>
          <w:rFonts w:hint="eastAsia" w:ascii="Songti SC" w:hAnsi="Songti SC" w:eastAsia="Songti SC"/>
          <w:sz w:val="24"/>
        </w:rPr>
        <w:t xml:space="preserve">第一条 </w:t>
      </w:r>
      <w:r>
        <w:rPr>
          <w:rFonts w:ascii="Songti SC" w:hAnsi="Songti SC" w:eastAsia="Songti SC"/>
          <w:sz w:val="24"/>
        </w:rPr>
        <w:t>新闻发言人制度，是指</w:t>
      </w:r>
      <w:r>
        <w:rPr>
          <w:rFonts w:hint="eastAsia" w:ascii="Songti SC" w:hAnsi="Songti SC" w:eastAsia="Songti SC"/>
          <w:sz w:val="24"/>
          <w:lang w:eastAsia="zh-Hans"/>
        </w:rPr>
        <w:t>基金会</w:t>
      </w:r>
      <w:r>
        <w:rPr>
          <w:rFonts w:ascii="Songti SC" w:hAnsi="Songti SC" w:eastAsia="Songti SC"/>
          <w:sz w:val="24"/>
        </w:rPr>
        <w:t>任命或指定有关人员，就本</w:t>
      </w:r>
      <w:r>
        <w:rPr>
          <w:rFonts w:hint="eastAsia" w:ascii="Songti SC" w:hAnsi="Songti SC" w:eastAsia="Songti SC"/>
          <w:sz w:val="24"/>
        </w:rPr>
        <w:t>机构</w:t>
      </w:r>
      <w:r>
        <w:rPr>
          <w:rFonts w:ascii="Songti SC" w:hAnsi="Songti SC" w:eastAsia="Songti SC"/>
          <w:sz w:val="24"/>
        </w:rPr>
        <w:t>的重要活动、重大事件或热点问题，通过定期或不定期举行新闻发布会、吹风会、接受采访等形式主动回应社会关切的规范性</w:t>
      </w:r>
      <w:r>
        <w:rPr>
          <w:rFonts w:hint="eastAsia" w:ascii="Songti SC" w:hAnsi="Songti SC" w:eastAsia="Songti SC"/>
          <w:sz w:val="24"/>
        </w:rPr>
        <w:t>安排。</w:t>
      </w:r>
    </w:p>
    <w:p w14:paraId="1E227159">
      <w:pPr>
        <w:spacing w:line="360" w:lineRule="auto"/>
        <w:ind w:firstLine="480" w:firstLineChars="200"/>
        <w:rPr>
          <w:rFonts w:ascii="Songti SC" w:hAnsi="Songti SC" w:eastAsia="Songti SC"/>
          <w:sz w:val="24"/>
        </w:rPr>
      </w:pPr>
      <w:r>
        <w:rPr>
          <w:rFonts w:hint="eastAsia" w:ascii="Songti SC" w:hAnsi="Songti SC" w:eastAsia="Songti SC"/>
          <w:sz w:val="24"/>
        </w:rPr>
        <w:t>第二条 新闻发言需要遵循的基本原则</w:t>
      </w:r>
    </w:p>
    <w:p w14:paraId="2A6315C3">
      <w:pPr>
        <w:spacing w:line="360" w:lineRule="auto"/>
        <w:ind w:firstLine="480" w:firstLineChars="200"/>
        <w:rPr>
          <w:rFonts w:ascii="Songti SC" w:hAnsi="Songti SC" w:eastAsia="Songti SC"/>
          <w:sz w:val="24"/>
        </w:rPr>
      </w:pPr>
      <w:r>
        <w:rPr>
          <w:rFonts w:hint="eastAsia" w:ascii="Songti SC" w:hAnsi="Songti SC" w:eastAsia="Songti SC"/>
          <w:sz w:val="24"/>
        </w:rPr>
        <w:t>（一）</w:t>
      </w:r>
      <w:r>
        <w:rPr>
          <w:rFonts w:ascii="Songti SC" w:hAnsi="Songti SC" w:eastAsia="Songti SC"/>
          <w:sz w:val="24"/>
        </w:rPr>
        <w:t>坚持党的基本路线、方针和政策</w:t>
      </w:r>
      <w:r>
        <w:rPr>
          <w:rFonts w:hint="eastAsia" w:ascii="Songti SC" w:hAnsi="Songti SC" w:eastAsia="Songti SC"/>
          <w:sz w:val="24"/>
        </w:rPr>
        <w:t>；</w:t>
      </w:r>
    </w:p>
    <w:p w14:paraId="364696AF">
      <w:pPr>
        <w:spacing w:line="360" w:lineRule="auto"/>
        <w:ind w:firstLine="480" w:firstLineChars="200"/>
        <w:rPr>
          <w:rFonts w:ascii="Songti SC" w:hAnsi="Songti SC" w:eastAsia="Songti SC"/>
          <w:sz w:val="24"/>
        </w:rPr>
      </w:pPr>
      <w:r>
        <w:rPr>
          <w:rFonts w:hint="eastAsia" w:ascii="Songti SC" w:hAnsi="Songti SC" w:eastAsia="Songti SC"/>
          <w:sz w:val="24"/>
        </w:rPr>
        <w:t>（二）</w:t>
      </w:r>
      <w:r>
        <w:rPr>
          <w:rFonts w:ascii="Songti SC" w:hAnsi="Songti SC" w:eastAsia="Songti SC"/>
          <w:sz w:val="24"/>
        </w:rPr>
        <w:t>坚持新闻发布工作服从服务于</w:t>
      </w:r>
      <w:r>
        <w:rPr>
          <w:rFonts w:hint="eastAsia" w:ascii="Songti SC" w:hAnsi="Songti SC" w:eastAsia="Songti SC"/>
          <w:sz w:val="24"/>
        </w:rPr>
        <w:t>基金会</w:t>
      </w:r>
      <w:r>
        <w:rPr>
          <w:rFonts w:ascii="Songti SC" w:hAnsi="Songti SC" w:eastAsia="Songti SC"/>
          <w:sz w:val="24"/>
        </w:rPr>
        <w:t>的工作大局</w:t>
      </w:r>
      <w:r>
        <w:rPr>
          <w:rFonts w:hint="eastAsia" w:ascii="Songti SC" w:hAnsi="Songti SC" w:eastAsia="Songti SC"/>
          <w:sz w:val="24"/>
        </w:rPr>
        <w:t>；</w:t>
      </w:r>
    </w:p>
    <w:p w14:paraId="4D0F7DEE">
      <w:pPr>
        <w:spacing w:line="360" w:lineRule="auto"/>
        <w:ind w:firstLine="480" w:firstLineChars="200"/>
        <w:rPr>
          <w:rFonts w:ascii="Songti SC" w:hAnsi="Songti SC" w:eastAsia="Songti SC"/>
          <w:sz w:val="24"/>
        </w:rPr>
      </w:pPr>
      <w:r>
        <w:rPr>
          <w:rFonts w:hint="eastAsia" w:ascii="Songti SC" w:hAnsi="Songti SC" w:eastAsia="Songti SC"/>
          <w:sz w:val="24"/>
        </w:rPr>
        <w:t>（三）</w:t>
      </w:r>
      <w:r>
        <w:rPr>
          <w:rFonts w:ascii="Songti SC" w:hAnsi="Songti SC" w:eastAsia="Songti SC"/>
          <w:sz w:val="24"/>
        </w:rPr>
        <w:t>坚持正面宣传为主</w:t>
      </w:r>
      <w:r>
        <w:rPr>
          <w:rFonts w:hint="eastAsia" w:ascii="Songti SC" w:hAnsi="Songti SC" w:eastAsia="Songti SC"/>
          <w:sz w:val="24"/>
        </w:rPr>
        <w:t>，确保正确的舆论导向；</w:t>
      </w:r>
    </w:p>
    <w:p w14:paraId="665F02CD">
      <w:pPr>
        <w:spacing w:line="360" w:lineRule="auto"/>
        <w:ind w:firstLine="480" w:firstLineChars="200"/>
        <w:rPr>
          <w:rFonts w:ascii="Songti SC" w:hAnsi="Songti SC" w:eastAsia="Songti SC"/>
          <w:sz w:val="24"/>
        </w:rPr>
      </w:pPr>
      <w:r>
        <w:rPr>
          <w:rFonts w:hint="eastAsia" w:ascii="Songti SC" w:hAnsi="Songti SC" w:eastAsia="Songti SC"/>
          <w:sz w:val="24"/>
        </w:rPr>
        <w:t>（四）</w:t>
      </w:r>
      <w:r>
        <w:rPr>
          <w:rFonts w:ascii="Songti SC" w:hAnsi="Songti SC" w:eastAsia="Songti SC"/>
          <w:sz w:val="24"/>
        </w:rPr>
        <w:t>坚持实事求是，新闻发布的内容要求及时、准确、客观、公正</w:t>
      </w:r>
      <w:r>
        <w:rPr>
          <w:rFonts w:hint="eastAsia" w:ascii="Songti SC" w:hAnsi="Songti SC" w:eastAsia="Songti SC"/>
          <w:sz w:val="24"/>
        </w:rPr>
        <w:t>；</w:t>
      </w:r>
    </w:p>
    <w:p w14:paraId="65FB6F87">
      <w:pPr>
        <w:spacing w:line="360" w:lineRule="auto"/>
        <w:ind w:firstLine="480" w:firstLineChars="200"/>
        <w:rPr>
          <w:rFonts w:ascii="Songti SC" w:hAnsi="Songti SC" w:eastAsia="Songti SC"/>
          <w:sz w:val="24"/>
        </w:rPr>
      </w:pPr>
      <w:r>
        <w:rPr>
          <w:rFonts w:hint="eastAsia" w:ascii="Songti SC" w:hAnsi="Songti SC" w:eastAsia="Songti SC"/>
          <w:sz w:val="24"/>
        </w:rPr>
        <w:t xml:space="preserve">第三条 </w:t>
      </w:r>
      <w:r>
        <w:rPr>
          <w:rFonts w:hint="eastAsia" w:ascii="Songti SC" w:hAnsi="Songti SC" w:eastAsia="Songti SC"/>
          <w:sz w:val="24"/>
          <w:lang w:eastAsia="zh-Hans"/>
        </w:rPr>
        <w:t>基金会</w:t>
      </w:r>
      <w:r>
        <w:rPr>
          <w:rFonts w:hint="eastAsia" w:ascii="Songti SC" w:hAnsi="Songti SC" w:eastAsia="Songti SC"/>
          <w:sz w:val="24"/>
        </w:rPr>
        <w:t>设立一名新闻发言人，由理事会任命。新闻发言人应当讲党性、讲政治、有担当，并且满足以下条件：</w:t>
      </w:r>
    </w:p>
    <w:p w14:paraId="79F26DF3">
      <w:pPr>
        <w:pStyle w:val="26"/>
        <w:numPr>
          <w:ilvl w:val="0"/>
          <w:numId w:val="21"/>
        </w:numPr>
        <w:spacing w:line="360" w:lineRule="auto"/>
        <w:ind w:firstLineChars="0"/>
        <w:rPr>
          <w:rFonts w:ascii="Songti SC" w:hAnsi="Songti SC" w:eastAsia="Songti SC"/>
          <w:sz w:val="24"/>
        </w:rPr>
      </w:pPr>
      <w:r>
        <w:rPr>
          <w:rFonts w:hint="eastAsia" w:ascii="Songti SC" w:hAnsi="Songti SC" w:eastAsia="Songti SC"/>
          <w:sz w:val="24"/>
        </w:rPr>
        <w:t>属于机构理事会成员；</w:t>
      </w:r>
    </w:p>
    <w:p w14:paraId="6470F04C">
      <w:pPr>
        <w:pStyle w:val="26"/>
        <w:numPr>
          <w:ilvl w:val="0"/>
          <w:numId w:val="21"/>
        </w:numPr>
        <w:spacing w:line="360" w:lineRule="auto"/>
        <w:ind w:firstLineChars="0"/>
        <w:rPr>
          <w:rFonts w:ascii="Songti SC" w:hAnsi="Songti SC" w:eastAsia="Songti SC"/>
          <w:sz w:val="24"/>
        </w:rPr>
      </w:pPr>
      <w:r>
        <w:rPr>
          <w:rFonts w:hint="eastAsia" w:ascii="Songti SC" w:hAnsi="Songti SC" w:eastAsia="Songti SC"/>
          <w:sz w:val="24"/>
        </w:rPr>
        <w:t>政治可靠，了解党和国家大政方针；</w:t>
      </w:r>
    </w:p>
    <w:p w14:paraId="5BBF7889">
      <w:pPr>
        <w:pStyle w:val="26"/>
        <w:numPr>
          <w:ilvl w:val="0"/>
          <w:numId w:val="21"/>
        </w:numPr>
        <w:spacing w:line="360" w:lineRule="auto"/>
        <w:ind w:firstLineChars="0"/>
        <w:rPr>
          <w:rFonts w:ascii="Songti SC" w:hAnsi="Songti SC" w:eastAsia="Songti SC"/>
          <w:sz w:val="24"/>
        </w:rPr>
      </w:pPr>
      <w:r>
        <w:rPr>
          <w:rFonts w:hint="eastAsia" w:ascii="Songti SC" w:hAnsi="Songti SC" w:eastAsia="Songti SC"/>
          <w:sz w:val="24"/>
        </w:rPr>
        <w:t>熟悉机构相关的法律法规的要求，具备基本的法律常识；</w:t>
      </w:r>
    </w:p>
    <w:p w14:paraId="5B80134F">
      <w:pPr>
        <w:pStyle w:val="26"/>
        <w:numPr>
          <w:ilvl w:val="0"/>
          <w:numId w:val="21"/>
        </w:numPr>
        <w:spacing w:line="360" w:lineRule="auto"/>
        <w:ind w:firstLineChars="0"/>
        <w:rPr>
          <w:rFonts w:ascii="Songti SC" w:hAnsi="Songti SC" w:eastAsia="Songti SC"/>
          <w:sz w:val="24"/>
        </w:rPr>
      </w:pPr>
      <w:r>
        <w:rPr>
          <w:rFonts w:hint="eastAsia" w:ascii="Songti SC" w:hAnsi="Songti SC" w:eastAsia="Songti SC"/>
          <w:sz w:val="24"/>
        </w:rPr>
        <w:t>业务精通，熟悉项目和机构运作，熟悉行业发展整体情况；</w:t>
      </w:r>
    </w:p>
    <w:p w14:paraId="5B719AFC">
      <w:pPr>
        <w:pStyle w:val="26"/>
        <w:numPr>
          <w:ilvl w:val="0"/>
          <w:numId w:val="21"/>
        </w:numPr>
        <w:spacing w:line="360" w:lineRule="auto"/>
        <w:ind w:firstLineChars="0"/>
        <w:rPr>
          <w:rFonts w:ascii="Songti SC" w:hAnsi="Songti SC" w:eastAsia="Songti SC"/>
          <w:sz w:val="24"/>
        </w:rPr>
      </w:pPr>
      <w:r>
        <w:rPr>
          <w:rFonts w:hint="eastAsia" w:ascii="Songti SC" w:hAnsi="Songti SC" w:eastAsia="Songti SC"/>
          <w:sz w:val="24"/>
        </w:rPr>
        <w:t>具有较高政策水平和良好的语言表达，沟通能力；</w:t>
      </w:r>
    </w:p>
    <w:p w14:paraId="305394DB">
      <w:pPr>
        <w:spacing w:line="360" w:lineRule="auto"/>
        <w:ind w:firstLine="480" w:firstLineChars="200"/>
        <w:rPr>
          <w:rFonts w:ascii="Songti SC" w:hAnsi="Songti SC" w:eastAsia="Songti SC"/>
          <w:sz w:val="24"/>
        </w:rPr>
      </w:pPr>
      <w:r>
        <w:rPr>
          <w:rFonts w:hint="eastAsia" w:ascii="Songti SC" w:hAnsi="Songti SC" w:eastAsia="Songti SC"/>
          <w:sz w:val="24"/>
        </w:rPr>
        <w:t>第四条 新闻发言人应当主动学习</w:t>
      </w:r>
      <w:r>
        <w:rPr>
          <w:rFonts w:ascii="Songti SC" w:hAnsi="Songti SC" w:eastAsia="Songti SC"/>
          <w:sz w:val="24"/>
        </w:rPr>
        <w:t>专业理论、模拟发布演练、舆情应对实战，不断增强新闻发言人的政策把握能力、舆情研判能力、释疑解惑能力和回应引导能力，确保</w:t>
      </w:r>
      <w:r>
        <w:rPr>
          <w:rFonts w:hint="eastAsia" w:ascii="Songti SC" w:hAnsi="Songti SC" w:eastAsia="Songti SC"/>
          <w:sz w:val="24"/>
        </w:rPr>
        <w:t>机构</w:t>
      </w:r>
      <w:r>
        <w:rPr>
          <w:rFonts w:ascii="Songti SC" w:hAnsi="Songti SC" w:eastAsia="Songti SC"/>
          <w:sz w:val="24"/>
        </w:rPr>
        <w:t>新闻信息发布、回应社会关切主动、及时、准确、权威。</w:t>
      </w:r>
    </w:p>
    <w:p w14:paraId="11827133">
      <w:pPr>
        <w:spacing w:line="360" w:lineRule="auto"/>
        <w:ind w:firstLine="480" w:firstLineChars="200"/>
        <w:rPr>
          <w:rFonts w:ascii="Songti SC" w:hAnsi="Songti SC" w:eastAsia="Songti SC"/>
          <w:sz w:val="24"/>
        </w:rPr>
      </w:pPr>
      <w:r>
        <w:rPr>
          <w:rFonts w:hint="eastAsia" w:ascii="Songti SC" w:hAnsi="Songti SC" w:eastAsia="Songti SC"/>
          <w:sz w:val="24"/>
        </w:rPr>
        <w:t xml:space="preserve">第五条 </w:t>
      </w:r>
      <w:r>
        <w:rPr>
          <w:rFonts w:ascii="Songti SC" w:hAnsi="Songti SC" w:eastAsia="Songti SC"/>
          <w:sz w:val="24"/>
        </w:rPr>
        <w:t>新闻发言人的基本职责：</w:t>
      </w:r>
    </w:p>
    <w:p w14:paraId="543D6A9F">
      <w:pPr>
        <w:spacing w:line="360" w:lineRule="auto"/>
        <w:ind w:firstLine="480" w:firstLineChars="200"/>
        <w:rPr>
          <w:rFonts w:ascii="Songti SC" w:hAnsi="Songti SC" w:eastAsia="Songti SC"/>
          <w:sz w:val="24"/>
        </w:rPr>
      </w:pPr>
      <w:r>
        <w:rPr>
          <w:rFonts w:hint="eastAsia" w:ascii="Songti SC" w:hAnsi="Songti SC" w:eastAsia="Songti SC"/>
          <w:sz w:val="24"/>
        </w:rPr>
        <w:t>（一）</w:t>
      </w:r>
      <w:r>
        <w:rPr>
          <w:rFonts w:ascii="Songti SC" w:hAnsi="Songti SC" w:eastAsia="Songti SC"/>
          <w:sz w:val="24"/>
        </w:rPr>
        <w:t>负责</w:t>
      </w:r>
      <w:r>
        <w:rPr>
          <w:rFonts w:hint="eastAsia" w:ascii="Songti SC" w:hAnsi="Songti SC" w:eastAsia="Songti SC"/>
          <w:sz w:val="24"/>
        </w:rPr>
        <w:t>机构</w:t>
      </w:r>
      <w:r>
        <w:rPr>
          <w:rFonts w:ascii="Songti SC" w:hAnsi="Songti SC" w:eastAsia="Songti SC"/>
          <w:sz w:val="24"/>
        </w:rPr>
        <w:t>的新闻发布工作。</w:t>
      </w:r>
    </w:p>
    <w:p w14:paraId="53303F56">
      <w:pPr>
        <w:spacing w:line="360" w:lineRule="auto"/>
        <w:ind w:firstLine="480" w:firstLineChars="200"/>
        <w:rPr>
          <w:rFonts w:ascii="Songti SC" w:hAnsi="Songti SC" w:eastAsia="Songti SC"/>
          <w:sz w:val="24"/>
        </w:rPr>
      </w:pPr>
      <w:r>
        <w:rPr>
          <w:rFonts w:hint="eastAsia" w:ascii="Songti SC" w:hAnsi="Songti SC" w:eastAsia="Songti SC"/>
          <w:sz w:val="24"/>
        </w:rPr>
        <w:t>（二）</w:t>
      </w:r>
      <w:r>
        <w:rPr>
          <w:rFonts w:ascii="Songti SC" w:hAnsi="Songti SC" w:eastAsia="Songti SC"/>
          <w:sz w:val="24"/>
        </w:rPr>
        <w:t>主持召开新闻发布会，接受记者采访，回答有关提问，就</w:t>
      </w:r>
      <w:r>
        <w:rPr>
          <w:rFonts w:hint="eastAsia" w:ascii="Songti SC" w:hAnsi="Songti SC" w:eastAsia="Songti SC"/>
          <w:sz w:val="24"/>
        </w:rPr>
        <w:t>机构</w:t>
      </w:r>
      <w:r>
        <w:rPr>
          <w:rFonts w:ascii="Songti SC" w:hAnsi="Songti SC" w:eastAsia="Songti SC"/>
          <w:sz w:val="24"/>
        </w:rPr>
        <w:t>工作的有关事项进行说明。必要时可邀请</w:t>
      </w:r>
      <w:r>
        <w:rPr>
          <w:rFonts w:hint="eastAsia" w:ascii="Songti SC" w:hAnsi="Songti SC" w:eastAsia="Songti SC"/>
          <w:sz w:val="24"/>
        </w:rPr>
        <w:t>机构其他</w:t>
      </w:r>
      <w:r>
        <w:rPr>
          <w:rFonts w:ascii="Songti SC" w:hAnsi="Songti SC" w:eastAsia="Songti SC"/>
          <w:sz w:val="24"/>
        </w:rPr>
        <w:t>负责人列席新闻发布会，发布新闻并接受记者采访。</w:t>
      </w:r>
    </w:p>
    <w:p w14:paraId="7CFA9D75">
      <w:pPr>
        <w:spacing w:line="360" w:lineRule="auto"/>
        <w:ind w:firstLine="480" w:firstLineChars="200"/>
        <w:rPr>
          <w:rFonts w:ascii="Songti SC" w:hAnsi="Songti SC" w:eastAsia="Songti SC"/>
          <w:sz w:val="24"/>
        </w:rPr>
      </w:pPr>
      <w:r>
        <w:rPr>
          <w:rFonts w:hint="eastAsia" w:ascii="Songti SC" w:hAnsi="Songti SC" w:eastAsia="Songti SC"/>
          <w:sz w:val="24"/>
        </w:rPr>
        <w:t xml:space="preserve">第六条 </w:t>
      </w:r>
      <w:r>
        <w:rPr>
          <w:rFonts w:ascii="Songti SC" w:hAnsi="Songti SC" w:eastAsia="Songti SC"/>
          <w:sz w:val="24"/>
        </w:rPr>
        <w:t>新闻发言人向新闻媒体发布新闻或回答记者提问，应严格遵守法律规定和新闻宣传工作纪律，严格遵守新闻发布的基本原则，不得随意更改发布会内容，不得发布虚假新闻。</w:t>
      </w:r>
    </w:p>
    <w:p w14:paraId="35777BD4">
      <w:pPr>
        <w:spacing w:line="360" w:lineRule="auto"/>
        <w:ind w:firstLine="480" w:firstLineChars="200"/>
        <w:rPr>
          <w:rFonts w:ascii="Songti SC" w:hAnsi="Songti SC" w:eastAsia="Songti SC"/>
          <w:sz w:val="24"/>
        </w:rPr>
      </w:pPr>
      <w:r>
        <w:rPr>
          <w:rFonts w:hint="eastAsia" w:ascii="Songti SC" w:hAnsi="Songti SC" w:eastAsia="Songti SC"/>
          <w:sz w:val="24"/>
        </w:rPr>
        <w:t>第七条 新闻发言人可以通过以下方式进行新闻发布：</w:t>
      </w:r>
    </w:p>
    <w:p w14:paraId="43D64444">
      <w:pPr>
        <w:spacing w:line="360" w:lineRule="auto"/>
        <w:ind w:firstLine="480" w:firstLineChars="200"/>
        <w:rPr>
          <w:rFonts w:ascii="Songti SC" w:hAnsi="Songti SC" w:eastAsia="Songti SC"/>
          <w:sz w:val="24"/>
        </w:rPr>
      </w:pPr>
      <w:r>
        <w:rPr>
          <w:rFonts w:ascii="Songti SC" w:hAnsi="Songti SC" w:eastAsia="Songti SC"/>
          <w:sz w:val="24"/>
        </w:rPr>
        <w:t>（一）通过新闻发布会、记者招待会、新闻通气会发布新闻</w:t>
      </w:r>
      <w:r>
        <w:rPr>
          <w:rFonts w:hint="eastAsia" w:ascii="Songti SC" w:hAnsi="Songti SC" w:eastAsia="Songti SC"/>
          <w:sz w:val="24"/>
        </w:rPr>
        <w:t>信息；</w:t>
      </w:r>
    </w:p>
    <w:p w14:paraId="0E05ACCA">
      <w:pPr>
        <w:spacing w:line="360" w:lineRule="auto"/>
        <w:ind w:firstLine="480" w:firstLineChars="200"/>
        <w:rPr>
          <w:rFonts w:ascii="Songti SC" w:hAnsi="Songti SC" w:eastAsia="Songti SC"/>
          <w:sz w:val="24"/>
        </w:rPr>
      </w:pPr>
      <w:r>
        <w:rPr>
          <w:rFonts w:ascii="Songti SC" w:hAnsi="Songti SC" w:eastAsia="Songti SC"/>
          <w:sz w:val="24"/>
        </w:rPr>
        <w:t>（二）通过互联网</w:t>
      </w:r>
      <w:r>
        <w:rPr>
          <w:rFonts w:hint="eastAsia" w:ascii="Songti SC" w:hAnsi="Songti SC" w:eastAsia="Songti SC"/>
          <w:sz w:val="24"/>
        </w:rPr>
        <w:t>（官方网站、微信、微博等）</w:t>
      </w:r>
      <w:r>
        <w:rPr>
          <w:rFonts w:ascii="Songti SC" w:hAnsi="Songti SC" w:eastAsia="Songti SC"/>
          <w:sz w:val="24"/>
        </w:rPr>
        <w:t>发布新闻信息</w:t>
      </w:r>
      <w:r>
        <w:rPr>
          <w:rFonts w:hint="eastAsia" w:ascii="Songti SC" w:hAnsi="Songti SC" w:eastAsia="Songti SC"/>
          <w:sz w:val="24"/>
        </w:rPr>
        <w:t>；</w:t>
      </w:r>
    </w:p>
    <w:p w14:paraId="0AC26AD2">
      <w:pPr>
        <w:spacing w:line="360" w:lineRule="auto"/>
        <w:ind w:firstLine="480" w:firstLineChars="200"/>
        <w:rPr>
          <w:rFonts w:ascii="Songti SC" w:hAnsi="Songti SC" w:eastAsia="Songti SC"/>
          <w:sz w:val="24"/>
        </w:rPr>
      </w:pPr>
      <w:r>
        <w:rPr>
          <w:rFonts w:ascii="Songti SC" w:hAnsi="Songti SC" w:eastAsia="Songti SC"/>
          <w:sz w:val="24"/>
        </w:rPr>
        <w:t>（三）通过书面形式发布新闻通稿。</w:t>
      </w:r>
    </w:p>
    <w:p w14:paraId="5F88BEEC">
      <w:pPr>
        <w:spacing w:line="360" w:lineRule="auto"/>
        <w:ind w:firstLine="480" w:firstLineChars="200"/>
        <w:rPr>
          <w:rFonts w:ascii="Songti SC" w:hAnsi="Songti SC" w:eastAsia="Songti SC"/>
          <w:sz w:val="24"/>
        </w:rPr>
      </w:pPr>
      <w:r>
        <w:rPr>
          <w:rFonts w:ascii="Songti SC" w:hAnsi="Songti SC" w:eastAsia="Songti SC"/>
          <w:sz w:val="24"/>
        </w:rPr>
        <w:t>（四）通过接受记者采访、向新闻界发表谈话发布新闻信息。</w:t>
      </w:r>
    </w:p>
    <w:p w14:paraId="1C114C43">
      <w:pPr>
        <w:spacing w:line="360" w:lineRule="auto"/>
        <w:ind w:firstLine="480" w:firstLineChars="200"/>
        <w:rPr>
          <w:rFonts w:ascii="Songti SC" w:hAnsi="Songti SC" w:eastAsia="Songti SC"/>
          <w:sz w:val="24"/>
        </w:rPr>
      </w:pPr>
      <w:r>
        <w:rPr>
          <w:rFonts w:hint="eastAsia" w:ascii="Songti SC" w:hAnsi="Songti SC" w:eastAsia="Songti SC"/>
          <w:sz w:val="24"/>
        </w:rPr>
        <w:t xml:space="preserve">第八条 </w:t>
      </w:r>
      <w:r>
        <w:rPr>
          <w:rFonts w:ascii="Songti SC" w:hAnsi="Songti SC" w:eastAsia="Songti SC"/>
          <w:sz w:val="24"/>
        </w:rPr>
        <w:t>新闻发布会根据工作需要可定期或不定期召开，遇有关重大活动或重大突发性事件等情况，</w:t>
      </w:r>
      <w:r>
        <w:rPr>
          <w:rFonts w:hint="eastAsia" w:ascii="Songti SC" w:hAnsi="Songti SC" w:eastAsia="Songti SC"/>
          <w:sz w:val="24"/>
        </w:rPr>
        <w:t>经理事会同意</w:t>
      </w:r>
      <w:r>
        <w:rPr>
          <w:rFonts w:ascii="Songti SC" w:hAnsi="Songti SC" w:eastAsia="Songti SC"/>
          <w:sz w:val="24"/>
        </w:rPr>
        <w:t>可随时举行新闻发布会。</w:t>
      </w:r>
    </w:p>
    <w:p w14:paraId="5EA768BA">
      <w:pPr>
        <w:spacing w:line="360" w:lineRule="auto"/>
        <w:ind w:firstLine="480" w:firstLineChars="200"/>
        <w:rPr>
          <w:rFonts w:ascii="Songti SC" w:hAnsi="Songti SC" w:eastAsia="Songti SC"/>
          <w:sz w:val="24"/>
        </w:rPr>
      </w:pPr>
      <w:r>
        <w:rPr>
          <w:rFonts w:hint="eastAsia" w:ascii="Songti SC" w:hAnsi="Songti SC" w:eastAsia="Songti SC"/>
          <w:sz w:val="24"/>
        </w:rPr>
        <w:t xml:space="preserve">第九条 </w:t>
      </w:r>
      <w:r>
        <w:rPr>
          <w:rFonts w:ascii="Songti SC" w:hAnsi="Songti SC" w:eastAsia="Songti SC"/>
          <w:sz w:val="24"/>
        </w:rPr>
        <w:t>新闻发布会的内容</w:t>
      </w:r>
      <w:r>
        <w:rPr>
          <w:rFonts w:hint="eastAsia" w:ascii="Songti SC" w:hAnsi="Songti SC" w:eastAsia="Songti SC"/>
          <w:sz w:val="24"/>
        </w:rPr>
        <w:t>包括</w:t>
      </w:r>
    </w:p>
    <w:p w14:paraId="57697EDC">
      <w:pPr>
        <w:spacing w:line="360" w:lineRule="auto"/>
        <w:ind w:firstLine="480" w:firstLineChars="200"/>
        <w:rPr>
          <w:rFonts w:ascii="Songti SC" w:hAnsi="Songti SC" w:eastAsia="Songti SC"/>
          <w:sz w:val="24"/>
        </w:rPr>
      </w:pPr>
      <w:r>
        <w:rPr>
          <w:rFonts w:ascii="Songti SC" w:hAnsi="Songti SC" w:eastAsia="Songti SC"/>
          <w:sz w:val="24"/>
        </w:rPr>
        <w:t>（一）重要决定、重大决策部署和规范性文件的有关内容。</w:t>
      </w:r>
    </w:p>
    <w:p w14:paraId="0534AF38">
      <w:pPr>
        <w:spacing w:line="360" w:lineRule="auto"/>
        <w:ind w:firstLine="480" w:firstLineChars="200"/>
        <w:rPr>
          <w:rFonts w:ascii="Songti SC" w:hAnsi="Songti SC" w:eastAsia="Songti SC"/>
          <w:sz w:val="24"/>
        </w:rPr>
      </w:pPr>
      <w:r>
        <w:rPr>
          <w:rFonts w:ascii="Songti SC" w:hAnsi="Songti SC" w:eastAsia="Songti SC"/>
          <w:sz w:val="24"/>
        </w:rPr>
        <w:t>（二）重点工作进展情况、阶段性工作目标进展情况。</w:t>
      </w:r>
    </w:p>
    <w:p w14:paraId="51329D08">
      <w:pPr>
        <w:spacing w:line="360" w:lineRule="auto"/>
        <w:ind w:firstLine="480" w:firstLineChars="200"/>
        <w:rPr>
          <w:rFonts w:ascii="Songti SC" w:hAnsi="Songti SC" w:eastAsia="Songti SC"/>
          <w:sz w:val="24"/>
        </w:rPr>
      </w:pPr>
      <w:r>
        <w:rPr>
          <w:rFonts w:ascii="Songti SC" w:hAnsi="Songti SC" w:eastAsia="Songti SC"/>
          <w:sz w:val="24"/>
        </w:rPr>
        <w:t>（三）涉及</w:t>
      </w:r>
      <w:r>
        <w:rPr>
          <w:rFonts w:hint="eastAsia" w:ascii="Songti SC" w:hAnsi="Songti SC" w:eastAsia="Songti SC"/>
          <w:sz w:val="24"/>
        </w:rPr>
        <w:t>机构</w:t>
      </w:r>
      <w:r>
        <w:rPr>
          <w:rFonts w:ascii="Songti SC" w:hAnsi="Songti SC" w:eastAsia="Songti SC"/>
          <w:sz w:val="24"/>
        </w:rPr>
        <w:t>的重大问题、重要活动和社会关注的热点问题及重大突发性事件。</w:t>
      </w:r>
    </w:p>
    <w:p w14:paraId="1DBF23C2">
      <w:pPr>
        <w:spacing w:line="360" w:lineRule="auto"/>
        <w:ind w:firstLine="480" w:firstLineChars="200"/>
        <w:rPr>
          <w:rFonts w:ascii="Songti SC" w:hAnsi="Songti SC" w:eastAsia="Songti SC"/>
          <w:sz w:val="24"/>
        </w:rPr>
      </w:pPr>
      <w:r>
        <w:rPr>
          <w:rFonts w:ascii="Songti SC" w:hAnsi="Songti SC" w:eastAsia="Songti SC"/>
          <w:sz w:val="24"/>
        </w:rPr>
        <w:t>（四）需要发布的其他事项。</w:t>
      </w:r>
    </w:p>
    <w:p w14:paraId="48CB99E0">
      <w:pPr>
        <w:spacing w:line="360" w:lineRule="auto"/>
        <w:ind w:firstLine="480" w:firstLineChars="200"/>
        <w:rPr>
          <w:rFonts w:ascii="Songti SC" w:hAnsi="Songti SC" w:eastAsia="Songti SC"/>
          <w:sz w:val="24"/>
        </w:rPr>
      </w:pPr>
      <w:r>
        <w:rPr>
          <w:rFonts w:hint="eastAsia" w:ascii="Songti SC" w:hAnsi="Songti SC" w:eastAsia="Songti SC"/>
          <w:sz w:val="24"/>
        </w:rPr>
        <w:t xml:space="preserve">第十条 </w:t>
      </w:r>
      <w:r>
        <w:rPr>
          <w:rFonts w:ascii="Songti SC" w:hAnsi="Songti SC" w:eastAsia="Songti SC"/>
          <w:sz w:val="24"/>
        </w:rPr>
        <w:t>新闻发布会的</w:t>
      </w:r>
      <w:r>
        <w:rPr>
          <w:rFonts w:hint="eastAsia" w:ascii="Songti SC" w:hAnsi="Songti SC" w:eastAsia="Songti SC"/>
          <w:sz w:val="24"/>
        </w:rPr>
        <w:t>程序：</w:t>
      </w:r>
    </w:p>
    <w:p w14:paraId="45DAFC65">
      <w:pPr>
        <w:spacing w:line="360" w:lineRule="auto"/>
        <w:ind w:firstLine="480" w:firstLineChars="200"/>
        <w:rPr>
          <w:rFonts w:ascii="Songti SC" w:hAnsi="Songti SC" w:eastAsia="Songti SC"/>
          <w:sz w:val="24"/>
        </w:rPr>
      </w:pPr>
      <w:r>
        <w:rPr>
          <w:rFonts w:hint="eastAsia" w:ascii="Songti SC" w:hAnsi="Songti SC" w:eastAsia="Songti SC"/>
          <w:sz w:val="24"/>
        </w:rPr>
        <w:t>（一）</w:t>
      </w:r>
      <w:r>
        <w:rPr>
          <w:rFonts w:ascii="Songti SC" w:hAnsi="Songti SC" w:eastAsia="Songti SC"/>
          <w:sz w:val="24"/>
        </w:rPr>
        <w:t>根据</w:t>
      </w:r>
      <w:r>
        <w:rPr>
          <w:rFonts w:hint="eastAsia" w:ascii="Songti SC" w:hAnsi="Songti SC" w:eastAsia="Songti SC"/>
          <w:sz w:val="24"/>
        </w:rPr>
        <w:t>发布内容的特</w:t>
      </w:r>
      <w:r>
        <w:rPr>
          <w:rFonts w:ascii="Songti SC" w:hAnsi="Songti SC" w:eastAsia="Songti SC"/>
          <w:sz w:val="24"/>
        </w:rPr>
        <w:t>点</w:t>
      </w:r>
      <w:r>
        <w:rPr>
          <w:rFonts w:hint="eastAsia" w:ascii="Songti SC" w:hAnsi="Songti SC" w:eastAsia="Songti SC"/>
          <w:sz w:val="24"/>
        </w:rPr>
        <w:t>，</w:t>
      </w:r>
      <w:r>
        <w:rPr>
          <w:rFonts w:ascii="Songti SC" w:hAnsi="Songti SC" w:eastAsia="Songti SC"/>
          <w:sz w:val="24"/>
        </w:rPr>
        <w:t>确定新闻发布会主题。</w:t>
      </w:r>
    </w:p>
    <w:p w14:paraId="7D11763F">
      <w:pPr>
        <w:spacing w:line="360" w:lineRule="auto"/>
        <w:ind w:firstLine="480" w:firstLineChars="200"/>
        <w:rPr>
          <w:rFonts w:ascii="Songti SC" w:hAnsi="Songti SC" w:eastAsia="Songti SC"/>
          <w:sz w:val="24"/>
        </w:rPr>
      </w:pPr>
      <w:r>
        <w:rPr>
          <w:rFonts w:hint="eastAsia" w:ascii="Songti SC" w:hAnsi="Songti SC" w:eastAsia="Songti SC"/>
          <w:sz w:val="24"/>
        </w:rPr>
        <w:t>（二）</w:t>
      </w:r>
      <w:r>
        <w:rPr>
          <w:rFonts w:ascii="Songti SC" w:hAnsi="Songti SC" w:eastAsia="Songti SC"/>
          <w:sz w:val="24"/>
        </w:rPr>
        <w:t>制定新闻发布会方案，明确新闻发言人、发布内容、责任</w:t>
      </w:r>
      <w:r>
        <w:rPr>
          <w:rFonts w:hint="eastAsia" w:ascii="Songti SC" w:hAnsi="Songti SC" w:eastAsia="Songti SC"/>
          <w:sz w:val="24"/>
        </w:rPr>
        <w:t>部门</w:t>
      </w:r>
      <w:r>
        <w:rPr>
          <w:rFonts w:ascii="Songti SC" w:hAnsi="Songti SC" w:eastAsia="Songti SC"/>
          <w:sz w:val="24"/>
        </w:rPr>
        <w:t>以及发布对象等各项工作安排。</w:t>
      </w:r>
    </w:p>
    <w:p w14:paraId="21F23AA3">
      <w:pPr>
        <w:spacing w:line="360" w:lineRule="auto"/>
        <w:ind w:firstLine="480" w:firstLineChars="200"/>
        <w:rPr>
          <w:rFonts w:ascii="Songti SC" w:hAnsi="Songti SC" w:eastAsia="Songti SC"/>
          <w:sz w:val="24"/>
        </w:rPr>
      </w:pPr>
      <w:r>
        <w:rPr>
          <w:rFonts w:hint="eastAsia" w:ascii="Songti SC" w:hAnsi="Songti SC" w:eastAsia="Songti SC"/>
          <w:sz w:val="24"/>
        </w:rPr>
        <w:t>（三）机构秘书处负责</w:t>
      </w:r>
      <w:r>
        <w:rPr>
          <w:rFonts w:ascii="Songti SC" w:hAnsi="Songti SC" w:eastAsia="Songti SC"/>
          <w:sz w:val="24"/>
        </w:rPr>
        <w:t>按照方案，认真研究相关背景材料，准备新闻发布材料</w:t>
      </w:r>
      <w:r>
        <w:rPr>
          <w:rFonts w:hint="eastAsia" w:ascii="Songti SC" w:hAnsi="Songti SC" w:eastAsia="Songti SC"/>
          <w:sz w:val="24"/>
        </w:rPr>
        <w:t>，</w:t>
      </w:r>
      <w:r>
        <w:rPr>
          <w:rFonts w:ascii="Songti SC" w:hAnsi="Songti SC" w:eastAsia="Songti SC"/>
          <w:sz w:val="24"/>
        </w:rPr>
        <w:t>草拟新闻发布稿。</w:t>
      </w:r>
    </w:p>
    <w:p w14:paraId="64C03A7B">
      <w:pPr>
        <w:spacing w:line="360" w:lineRule="auto"/>
        <w:ind w:firstLine="480" w:firstLineChars="200"/>
        <w:rPr>
          <w:rFonts w:ascii="Songti SC" w:hAnsi="Songti SC" w:eastAsia="Songti SC"/>
          <w:sz w:val="24"/>
        </w:rPr>
      </w:pPr>
      <w:r>
        <w:rPr>
          <w:rFonts w:hint="eastAsia" w:ascii="Songti SC" w:hAnsi="Songti SC" w:eastAsia="Songti SC"/>
          <w:sz w:val="24"/>
        </w:rPr>
        <w:t>（四）秘书处</w:t>
      </w:r>
      <w:r>
        <w:rPr>
          <w:rFonts w:ascii="Songti SC" w:hAnsi="Songti SC" w:eastAsia="Songti SC"/>
          <w:sz w:val="24"/>
        </w:rPr>
        <w:t>配合</w:t>
      </w:r>
      <w:r>
        <w:rPr>
          <w:rFonts w:hint="eastAsia" w:ascii="Songti SC" w:hAnsi="Songti SC" w:eastAsia="Songti SC"/>
          <w:sz w:val="24"/>
        </w:rPr>
        <w:t>机构相关部门</w:t>
      </w:r>
      <w:r>
        <w:rPr>
          <w:rFonts w:ascii="Songti SC" w:hAnsi="Songti SC" w:eastAsia="Songti SC"/>
          <w:sz w:val="24"/>
        </w:rPr>
        <w:t>做好与新闻媒体和有关单位的通知，以及会场安排、会议签到、发布材料的印制和分发、会场秩序维护等服务保障工作。</w:t>
      </w:r>
    </w:p>
    <w:p w14:paraId="3D907486">
      <w:pPr>
        <w:spacing w:line="360" w:lineRule="auto"/>
        <w:ind w:firstLine="480" w:firstLineChars="200"/>
        <w:rPr>
          <w:rFonts w:ascii="Songti SC" w:hAnsi="Songti SC" w:eastAsia="Songti SC"/>
          <w:sz w:val="24"/>
        </w:rPr>
      </w:pPr>
      <w:r>
        <w:rPr>
          <w:rFonts w:hint="eastAsia" w:ascii="Songti SC" w:hAnsi="Songti SC" w:eastAsia="Songti SC"/>
          <w:sz w:val="24"/>
        </w:rPr>
        <w:t>（五）</w:t>
      </w:r>
      <w:r>
        <w:rPr>
          <w:rFonts w:ascii="Songti SC" w:hAnsi="Songti SC" w:eastAsia="Songti SC"/>
          <w:sz w:val="24"/>
        </w:rPr>
        <w:t>发布会翌日，</w:t>
      </w:r>
      <w:r>
        <w:rPr>
          <w:rFonts w:hint="eastAsia" w:ascii="Songti SC" w:hAnsi="Songti SC" w:eastAsia="Songti SC"/>
          <w:sz w:val="24"/>
        </w:rPr>
        <w:t>秘书处</w:t>
      </w:r>
      <w:r>
        <w:rPr>
          <w:rFonts w:ascii="Songti SC" w:hAnsi="Songti SC" w:eastAsia="Songti SC"/>
          <w:sz w:val="24"/>
        </w:rPr>
        <w:t>协调相关</w:t>
      </w:r>
      <w:r>
        <w:rPr>
          <w:rFonts w:hint="eastAsia" w:ascii="Songti SC" w:hAnsi="Songti SC" w:eastAsia="Songti SC"/>
          <w:sz w:val="24"/>
        </w:rPr>
        <w:t>业务部门</w:t>
      </w:r>
      <w:r>
        <w:rPr>
          <w:rFonts w:ascii="Songti SC" w:hAnsi="Songti SC" w:eastAsia="Songti SC"/>
          <w:sz w:val="24"/>
        </w:rPr>
        <w:t>及时收集新闻发布会相关材料，并整理归档，同时报</w:t>
      </w:r>
      <w:r>
        <w:rPr>
          <w:rFonts w:hint="eastAsia" w:ascii="Songti SC" w:hAnsi="Songti SC" w:eastAsia="Songti SC"/>
          <w:sz w:val="24"/>
        </w:rPr>
        <w:t>理事长</w:t>
      </w:r>
      <w:r>
        <w:rPr>
          <w:rFonts w:ascii="Songti SC" w:hAnsi="Songti SC" w:eastAsia="Songti SC"/>
          <w:sz w:val="24"/>
        </w:rPr>
        <w:t>审阅。</w:t>
      </w:r>
    </w:p>
    <w:p w14:paraId="69D30B79">
      <w:pPr>
        <w:spacing w:line="360" w:lineRule="auto"/>
        <w:ind w:firstLine="480" w:firstLineChars="200"/>
        <w:rPr>
          <w:rFonts w:ascii="Songti SC" w:hAnsi="Songti SC" w:eastAsia="Songti SC"/>
          <w:sz w:val="24"/>
        </w:rPr>
      </w:pPr>
      <w:r>
        <w:rPr>
          <w:rFonts w:hint="eastAsia" w:ascii="Songti SC" w:hAnsi="Songti SC" w:eastAsia="Songti SC"/>
          <w:sz w:val="24"/>
        </w:rPr>
        <w:t>第十一条 新</w:t>
      </w:r>
      <w:r>
        <w:rPr>
          <w:rFonts w:ascii="Songti SC" w:hAnsi="Songti SC" w:eastAsia="Songti SC"/>
          <w:sz w:val="24"/>
        </w:rPr>
        <w:t>闻发布稿，一般不超过三千字，时间不超过二十分钟</w:t>
      </w:r>
      <w:r>
        <w:rPr>
          <w:rFonts w:hint="eastAsia" w:ascii="Songti SC" w:hAnsi="Songti SC" w:eastAsia="Songti SC"/>
          <w:sz w:val="24"/>
        </w:rPr>
        <w:t>，包括以下内容：</w:t>
      </w:r>
    </w:p>
    <w:p w14:paraId="606C1625">
      <w:pPr>
        <w:spacing w:line="360" w:lineRule="auto"/>
        <w:ind w:firstLine="480" w:firstLineChars="200"/>
        <w:rPr>
          <w:rFonts w:ascii="Songti SC" w:hAnsi="Songti SC" w:eastAsia="Songti SC"/>
          <w:sz w:val="24"/>
        </w:rPr>
      </w:pPr>
      <w:r>
        <w:rPr>
          <w:rFonts w:hint="eastAsia" w:ascii="Songti SC" w:hAnsi="Songti SC" w:eastAsia="Songti SC"/>
          <w:sz w:val="24"/>
        </w:rPr>
        <w:t>（一）</w:t>
      </w:r>
      <w:r>
        <w:rPr>
          <w:rFonts w:ascii="Songti SC" w:hAnsi="Songti SC" w:eastAsia="Songti SC"/>
          <w:sz w:val="24"/>
        </w:rPr>
        <w:t>背景材料，介绍与发布会内容有关的情况，为新闻发布稿的补充材料；</w:t>
      </w:r>
    </w:p>
    <w:p w14:paraId="2D9A6694">
      <w:pPr>
        <w:spacing w:line="360" w:lineRule="auto"/>
        <w:ind w:firstLine="480" w:firstLineChars="200"/>
        <w:rPr>
          <w:rFonts w:ascii="Songti SC" w:hAnsi="Songti SC" w:eastAsia="Songti SC"/>
          <w:sz w:val="24"/>
        </w:rPr>
      </w:pPr>
      <w:r>
        <w:rPr>
          <w:rFonts w:hint="eastAsia" w:ascii="Songti SC" w:hAnsi="Songti SC" w:eastAsia="Songti SC"/>
          <w:sz w:val="24"/>
        </w:rPr>
        <w:t>（二）</w:t>
      </w:r>
      <w:r>
        <w:rPr>
          <w:rFonts w:ascii="Songti SC" w:hAnsi="Songti SC" w:eastAsia="Songti SC"/>
          <w:sz w:val="24"/>
        </w:rPr>
        <w:t>答问预案，根据境内外媒体近期内对本委工作所关注的、在发布会上可能被问及的问题，准备简短答问预案；</w:t>
      </w:r>
    </w:p>
    <w:p w14:paraId="175E0D24">
      <w:pPr>
        <w:spacing w:line="360" w:lineRule="auto"/>
        <w:ind w:firstLine="480" w:firstLineChars="200"/>
        <w:rPr>
          <w:rFonts w:ascii="Songti SC" w:hAnsi="Songti SC" w:eastAsia="Songti SC"/>
          <w:sz w:val="24"/>
        </w:rPr>
      </w:pPr>
      <w:r>
        <w:rPr>
          <w:rFonts w:hint="eastAsia" w:ascii="Songti SC" w:hAnsi="Songti SC" w:eastAsia="Songti SC"/>
          <w:sz w:val="24"/>
        </w:rPr>
        <w:t>（三）</w:t>
      </w:r>
      <w:r>
        <w:rPr>
          <w:rFonts w:ascii="Songti SC" w:hAnsi="Songti SC" w:eastAsia="Songti SC"/>
          <w:sz w:val="24"/>
        </w:rPr>
        <w:t>主持词，介绍发布会主题、简要背景、发布人、议程等内容；</w:t>
      </w:r>
    </w:p>
    <w:p w14:paraId="0E2ADB99">
      <w:pPr>
        <w:spacing w:line="360" w:lineRule="auto"/>
        <w:ind w:firstLine="480" w:firstLineChars="200"/>
        <w:rPr>
          <w:rFonts w:ascii="Songti SC" w:hAnsi="Songti SC" w:eastAsia="Songti SC"/>
          <w:sz w:val="24"/>
        </w:rPr>
      </w:pPr>
      <w:r>
        <w:rPr>
          <w:rFonts w:hint="eastAsia" w:ascii="Songti SC" w:hAnsi="Songti SC" w:eastAsia="Songti SC"/>
          <w:sz w:val="24"/>
        </w:rPr>
        <w:t>（四）</w:t>
      </w:r>
      <w:r>
        <w:rPr>
          <w:rFonts w:ascii="Songti SC" w:hAnsi="Songti SC" w:eastAsia="Songti SC"/>
          <w:sz w:val="24"/>
        </w:rPr>
        <w:t>其他宣传材料或光盘等电子产品。</w:t>
      </w:r>
    </w:p>
    <w:p w14:paraId="1D3734EE">
      <w:pPr>
        <w:spacing w:line="360" w:lineRule="auto"/>
        <w:ind w:firstLine="480" w:firstLineChars="200"/>
        <w:rPr>
          <w:rFonts w:ascii="Songti SC" w:hAnsi="Songti SC" w:eastAsia="Songti SC"/>
          <w:sz w:val="24"/>
        </w:rPr>
      </w:pPr>
      <w:r>
        <w:rPr>
          <w:rFonts w:hint="eastAsia" w:ascii="Songti SC" w:hAnsi="Songti SC" w:eastAsia="Songti SC"/>
          <w:sz w:val="24"/>
        </w:rPr>
        <w:t>第十二条 机构各部门，应当全力配合新闻发言人的工作，新闻发言人需要的机构，项目，财务等信息应当准确无误的提供。</w:t>
      </w:r>
    </w:p>
    <w:p w14:paraId="69F658B6">
      <w:pPr>
        <w:spacing w:line="360" w:lineRule="auto"/>
        <w:ind w:firstLine="480" w:firstLineChars="200"/>
        <w:rPr>
          <w:rFonts w:ascii="Songti SC" w:hAnsi="Songti SC" w:eastAsia="Songti SC"/>
          <w:sz w:val="24"/>
        </w:rPr>
      </w:pPr>
      <w:r>
        <w:rPr>
          <w:rFonts w:hint="eastAsia" w:ascii="Songti SC" w:hAnsi="Songti SC" w:eastAsia="Songti SC"/>
          <w:sz w:val="24"/>
        </w:rPr>
        <w:t>第十三条 秘书处应当审查发言内容是否真实、准确、权威。甄别信息是否属于保密内容，涉及国家秘密，商业秘密，个人隐私等信息，机构相关人员应当履行保密义务，未经允许不得对外泄露。</w:t>
      </w:r>
    </w:p>
    <w:p w14:paraId="2AB63E8C">
      <w:pPr>
        <w:spacing w:line="360" w:lineRule="auto"/>
        <w:ind w:firstLine="480" w:firstLineChars="200"/>
        <w:rPr>
          <w:rFonts w:ascii="Songti SC" w:hAnsi="Songti SC" w:eastAsia="Songti SC"/>
          <w:sz w:val="24"/>
        </w:rPr>
      </w:pPr>
      <w:r>
        <w:rPr>
          <w:rFonts w:hint="eastAsia" w:ascii="Songti SC" w:hAnsi="Songti SC" w:eastAsia="Songti SC"/>
          <w:sz w:val="24"/>
        </w:rPr>
        <w:t>第十四条 对于机构重大项目信息，热点事件，除新闻发言人外，其他人员不得代表机构接受外界采访，以机构名义对外发布信息。</w:t>
      </w:r>
    </w:p>
    <w:p w14:paraId="2C8A4113">
      <w:pPr>
        <w:spacing w:line="360" w:lineRule="auto"/>
        <w:ind w:firstLine="480" w:firstLineChars="200"/>
        <w:rPr>
          <w:rFonts w:ascii="Songti SC" w:hAnsi="Songti SC" w:eastAsia="Songti SC"/>
          <w:sz w:val="24"/>
        </w:rPr>
      </w:pPr>
      <w:r>
        <w:rPr>
          <w:rFonts w:hint="eastAsia" w:ascii="Songti SC" w:hAnsi="Songti SC" w:eastAsia="Songti SC"/>
          <w:sz w:val="24"/>
        </w:rPr>
        <w:t>第十五条 机构秘书处应当及时收集和整理新闻发布会后的舆情反应，做好相关报道的收集整理，归档等工作，及时把握舆情动向。</w:t>
      </w:r>
    </w:p>
    <w:p w14:paraId="4EEF42EE">
      <w:pPr>
        <w:spacing w:line="360" w:lineRule="auto"/>
        <w:ind w:firstLine="480" w:firstLineChars="200"/>
        <w:rPr>
          <w:rFonts w:ascii="Songti SC" w:hAnsi="Songti SC" w:eastAsia="Songti SC"/>
          <w:sz w:val="24"/>
        </w:rPr>
      </w:pPr>
      <w:r>
        <w:rPr>
          <w:rFonts w:hint="eastAsia" w:ascii="Songti SC" w:hAnsi="Songti SC" w:eastAsia="Songti SC"/>
          <w:sz w:val="24"/>
        </w:rPr>
        <w:t>第十六条 对于未经授权以机构名义擅自发布新闻信息，蓄意封锁信息，违反保密义务，导致严重后果的，机构对相关责任人应当严肃处理、追究责任。</w:t>
      </w:r>
    </w:p>
    <w:p w14:paraId="4BE773CF">
      <w:pPr>
        <w:spacing w:line="360" w:lineRule="auto"/>
        <w:ind w:firstLine="480" w:firstLineChars="200"/>
        <w:rPr>
          <w:rFonts w:ascii="Songti SC" w:hAnsi="Songti SC" w:eastAsia="Songti SC"/>
          <w:sz w:val="24"/>
        </w:rPr>
      </w:pPr>
      <w:r>
        <w:rPr>
          <w:rFonts w:hint="eastAsia" w:ascii="Songti SC" w:hAnsi="Songti SC" w:eastAsia="Songti SC"/>
          <w:sz w:val="24"/>
        </w:rPr>
        <w:t>第十七条 本制度</w:t>
      </w:r>
      <w:r>
        <w:rPr>
          <w:rFonts w:hint="eastAsia" w:ascii="Songti SC" w:hAnsi="Songti SC" w:eastAsia="Songti SC"/>
          <w:sz w:val="24"/>
          <w:lang w:eastAsia="zh-Hans"/>
        </w:rPr>
        <w:t>经过</w:t>
      </w:r>
      <w:r>
        <w:rPr>
          <w:rFonts w:hint="eastAsia" w:ascii="Songti SC" w:hAnsi="Songti SC" w:eastAsia="Songti SC"/>
          <w:sz w:val="24"/>
        </w:rPr>
        <w:t>理事会会议表决通过，自通过时生效。</w:t>
      </w:r>
    </w:p>
    <w:p w14:paraId="0952B3C1">
      <w:pPr>
        <w:spacing w:line="360" w:lineRule="auto"/>
        <w:ind w:firstLine="480" w:firstLineChars="200"/>
        <w:rPr>
          <w:rFonts w:ascii="Songti SC" w:hAnsi="Songti SC" w:eastAsia="Songti SC"/>
          <w:sz w:val="24"/>
        </w:rPr>
      </w:pPr>
      <w:r>
        <w:rPr>
          <w:rFonts w:hint="eastAsia" w:ascii="Songti SC" w:hAnsi="Songti SC" w:eastAsia="Songti SC"/>
          <w:sz w:val="24"/>
        </w:rPr>
        <w:t>第十八条 本制度的解释权归机构理事会。</w:t>
      </w:r>
    </w:p>
    <w:p w14:paraId="44C6A7A3">
      <w:pPr>
        <w:spacing w:line="360" w:lineRule="auto"/>
        <w:ind w:firstLine="480" w:firstLineChars="200"/>
        <w:rPr>
          <w:rFonts w:ascii="Songti SC" w:hAnsi="Songti SC" w:eastAsia="Songti SC"/>
          <w:sz w:val="24"/>
        </w:rPr>
      </w:pPr>
    </w:p>
    <w:p w14:paraId="3AC6F9EE">
      <w:pPr>
        <w:spacing w:line="520" w:lineRule="exact"/>
        <w:ind w:left="1080" w:hanging="1080" w:hangingChars="450"/>
        <w:jc w:val="left"/>
        <w:rPr>
          <w:rFonts w:ascii="Songti SC Regular" w:hAnsi="Songti SC Regular" w:eastAsia="Songti SC Regular" w:cs="Songti SC Regular"/>
        </w:rPr>
      </w:pPr>
    </w:p>
    <w:p w14:paraId="58670AFC">
      <w:pPr>
        <w:spacing w:line="520" w:lineRule="exact"/>
        <w:ind w:left="1080" w:hanging="1080" w:hangingChars="450"/>
        <w:jc w:val="left"/>
        <w:rPr>
          <w:rFonts w:ascii="Songti SC Regular" w:hAnsi="Songti SC Regular" w:eastAsia="Songti SC Regular" w:cs="Songti SC Regular"/>
        </w:rPr>
      </w:pPr>
    </w:p>
    <w:p w14:paraId="06784EF6">
      <w:pPr>
        <w:spacing w:line="520" w:lineRule="exact"/>
        <w:ind w:left="1080" w:hanging="1080" w:hangingChars="450"/>
        <w:jc w:val="left"/>
        <w:rPr>
          <w:rFonts w:ascii="Songti SC Regular" w:hAnsi="Songti SC Regular" w:eastAsia="Songti SC Regular" w:cs="Songti SC Regular"/>
        </w:rPr>
      </w:pPr>
    </w:p>
    <w:p w14:paraId="6BDA67C4">
      <w:pPr>
        <w:spacing w:line="520" w:lineRule="exact"/>
        <w:ind w:left="1080" w:hanging="1080" w:hangingChars="450"/>
        <w:jc w:val="left"/>
        <w:rPr>
          <w:rFonts w:ascii="Songti SC Regular" w:hAnsi="Songti SC Regular" w:eastAsia="Songti SC Regular" w:cs="Songti SC Regular"/>
        </w:rPr>
      </w:pPr>
    </w:p>
    <w:p w14:paraId="5BDFE951">
      <w:pPr>
        <w:spacing w:line="520" w:lineRule="exact"/>
        <w:ind w:left="1080" w:hanging="1080" w:hangingChars="450"/>
        <w:jc w:val="left"/>
        <w:rPr>
          <w:rFonts w:ascii="Songti SC Regular" w:hAnsi="Songti SC Regular" w:eastAsia="Songti SC Regular" w:cs="Songti SC Regular"/>
        </w:rPr>
      </w:pPr>
    </w:p>
    <w:p w14:paraId="71D5E9F4">
      <w:pPr>
        <w:spacing w:line="520" w:lineRule="exact"/>
        <w:ind w:left="1080" w:hanging="1080" w:hangingChars="450"/>
        <w:jc w:val="left"/>
        <w:rPr>
          <w:rFonts w:ascii="Songti SC Regular" w:hAnsi="Songti SC Regular" w:eastAsia="Songti SC Regular" w:cs="Songti SC Regular"/>
        </w:rPr>
      </w:pPr>
    </w:p>
    <w:p w14:paraId="3FCFB358">
      <w:pPr>
        <w:spacing w:line="520" w:lineRule="exact"/>
        <w:ind w:left="1080" w:hanging="1080" w:hangingChars="450"/>
        <w:jc w:val="left"/>
        <w:rPr>
          <w:rFonts w:ascii="Songti SC Regular" w:hAnsi="Songti SC Regular" w:eastAsia="Songti SC Regular" w:cs="Songti SC Regular"/>
        </w:rPr>
      </w:pPr>
    </w:p>
    <w:p w14:paraId="74315B72">
      <w:pPr>
        <w:spacing w:line="520" w:lineRule="exact"/>
        <w:ind w:left="1080" w:hanging="1080" w:hangingChars="450"/>
        <w:jc w:val="left"/>
        <w:rPr>
          <w:rFonts w:ascii="Songti SC Regular" w:hAnsi="Songti SC Regular" w:eastAsia="Songti SC Regular" w:cs="Songti SC Regular"/>
        </w:rPr>
      </w:pPr>
    </w:p>
    <w:p w14:paraId="0EBB96CF">
      <w:pPr>
        <w:spacing w:line="520" w:lineRule="exact"/>
        <w:ind w:left="1080" w:hanging="1080" w:hangingChars="450"/>
        <w:jc w:val="left"/>
        <w:rPr>
          <w:rFonts w:ascii="Songti SC Regular" w:hAnsi="Songti SC Regular" w:eastAsia="Songti SC Regular" w:cs="Songti SC Regular"/>
        </w:rPr>
      </w:pPr>
      <w:bookmarkStart w:id="312" w:name="_GoBack"/>
      <w:bookmarkEnd w:id="312"/>
    </w:p>
    <w:p w14:paraId="5E659332">
      <w:pPr>
        <w:spacing w:line="520" w:lineRule="exact"/>
        <w:ind w:left="1080" w:right="560" w:hanging="1080" w:hangingChars="450"/>
        <w:jc w:val="right"/>
        <w:rPr>
          <w:rFonts w:ascii="Songti SC Regular" w:hAnsi="Songti SC Regular" w:eastAsia="Songti SC Regular" w:cs="Songti SC Regular"/>
        </w:rPr>
      </w:pPr>
    </w:p>
    <w:p w14:paraId="79CCC6CB">
      <w:pPr>
        <w:rPr>
          <w:rFonts w:ascii="Songti SC Regular" w:hAnsi="Songti SC Regular" w:eastAsia="Songti SC Regular" w:cs="Songti SC Regul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iti SC Medium">
    <w:panose1 w:val="02000000000000000000"/>
    <w:charset w:val="80"/>
    <w:family w:val="auto"/>
    <w:pitch w:val="default"/>
    <w:sig w:usb0="8000002F" w:usb1="0800004A" w:usb2="00000000" w:usb3="00000000" w:csb0="203E0000" w:csb1="00000000"/>
  </w:font>
  <w:font w:name="仿宋_GB2312">
    <w:altName w:val="方正仿宋_GBK"/>
    <w:panose1 w:val="00000000000000000000"/>
    <w:charset w:val="00"/>
    <w:family w:val="auto"/>
    <w:pitch w:val="default"/>
    <w:sig w:usb0="00000000" w:usb1="00000000" w:usb2="00000000" w:usb3="00000000" w:csb0="00040001" w:csb1="00000000"/>
  </w:font>
  <w:font w:name="DejaVu Sans">
    <w:altName w:val="苹方-简"/>
    <w:panose1 w:val="00000000000000000000"/>
    <w:charset w:val="00"/>
    <w:family w:val="roman"/>
    <w:pitch w:val="default"/>
    <w:sig w:usb0="00000000" w:usb1="00000000" w:usb2="00000008" w:usb3="00000000" w:csb0="000001FF" w:csb1="00000000"/>
  </w:font>
  <w:font w:name="Times">
    <w:altName w:val="Times New Roman"/>
    <w:panose1 w:val="02020603050405020304"/>
    <w:charset w:val="00"/>
    <w:family w:val="auto"/>
    <w:pitch w:val="default"/>
    <w:sig w:usb0="00000000" w:usb1="00000000" w:usb2="00000000" w:usb3="00000000" w:csb0="2000019F" w:csb1="4F010000"/>
  </w:font>
  <w:font w:name="Cambria">
    <w:altName w:val="苹方-简"/>
    <w:panose1 w:val="02040503050406030204"/>
    <w:charset w:val="00"/>
    <w:family w:val="roman"/>
    <w:pitch w:val="default"/>
    <w:sig w:usb0="00000000" w:usb1="00000000" w:usb2="02000000" w:usb3="00000000" w:csb0="0000019F" w:csb1="00000000"/>
  </w:font>
  <w:font w:name="报隶-简">
    <w:panose1 w:val="02010600040101010101"/>
    <w:charset w:val="86"/>
    <w:family w:val="auto"/>
    <w:pitch w:val="default"/>
    <w:sig w:usb0="80000287" w:usb1="280F3C52" w:usb2="00000016" w:usb3="00000000" w:csb0="0004001F" w:csb1="00000000"/>
  </w:font>
  <w:font w:name="Songti SC Regular">
    <w:panose1 w:val="02010800040101010101"/>
    <w:charset w:val="86"/>
    <w:family w:val="auto"/>
    <w:pitch w:val="default"/>
    <w:sig w:usb0="00000001" w:usb1="080F0000" w:usb2="00000000" w:usb3="00000000" w:csb0="00040000" w:csb1="00000000"/>
  </w:font>
  <w:font w:name="Times New Roman (正文 CS 字体)">
    <w:altName w:val="Times New Roman"/>
    <w:panose1 w:val="00000000000000000000"/>
    <w:charset w:val="86"/>
    <w:family w:val="roman"/>
    <w:pitch w:val="default"/>
    <w:sig w:usb0="00000000" w:usb1="00000000" w:usb2="00000000" w:usb3="00000000" w:csb0="00000000"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65D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1209B">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8B1209B">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10EA">
    <w:pPr>
      <w:pStyle w:val="12"/>
      <w:jc w:val="center"/>
    </w:pPr>
    <w:r>
      <w:rPr>
        <w:rFonts w:ascii="宋体" w:hAnsi="宋体" w:eastAsia="宋体" w:cs="宋体"/>
        <w:b/>
        <w:bCs/>
        <w:color w:val="333333"/>
        <w:spacing w:val="8"/>
        <w:kern w:val="0"/>
        <w:sz w:val="32"/>
        <w:szCs w:val="32"/>
      </w:rPr>
      <w:drawing>
        <wp:inline distT="0" distB="0" distL="114300" distR="114300">
          <wp:extent cx="737870" cy="589915"/>
          <wp:effectExtent l="0" t="0" r="24130" b="19685"/>
          <wp:docPr id="1" name="图片 1" descr="WechatIMG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71"/>
                  <pic:cNvPicPr>
                    <a:picLocks noChangeAspect="1"/>
                  </pic:cNvPicPr>
                </pic:nvPicPr>
                <pic:blipFill>
                  <a:blip r:embed="rId1"/>
                  <a:srcRect b="20052"/>
                  <a:stretch>
                    <a:fillRect/>
                  </a:stretch>
                </pic:blipFill>
                <pic:spPr>
                  <a:xfrm>
                    <a:off x="0" y="0"/>
                    <a:ext cx="737870" cy="589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90D9D"/>
    <w:multiLevelType w:val="multilevel"/>
    <w:tmpl w:val="0DC90D9D"/>
    <w:lvl w:ilvl="0" w:tentative="0">
      <w:start w:val="1"/>
      <w:numFmt w:val="decimal"/>
      <w:lvlText w:val="%1."/>
      <w:lvlJc w:val="left"/>
      <w:pPr>
        <w:ind w:left="1200" w:hanging="480"/>
      </w:p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1">
    <w:nsid w:val="0E2139CC"/>
    <w:multiLevelType w:val="multilevel"/>
    <w:tmpl w:val="0E2139CC"/>
    <w:lvl w:ilvl="0" w:tentative="0">
      <w:start w:val="1"/>
      <w:numFmt w:val="decimal"/>
      <w:lvlText w:val="（%1）"/>
      <w:lvlJc w:val="left"/>
      <w:pPr>
        <w:ind w:left="1440" w:hanging="720"/>
      </w:pPr>
      <w:rPr>
        <w:rFonts w:hint="eastAsia" w:cstheme="minorBidi"/>
        <w:b w:val="0"/>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2">
    <w:nsid w:val="0E7C6D4D"/>
    <w:multiLevelType w:val="multilevel"/>
    <w:tmpl w:val="0E7C6D4D"/>
    <w:lvl w:ilvl="0" w:tentative="0">
      <w:start w:val="1"/>
      <w:numFmt w:val="decimal"/>
      <w:lvlText w:val="%1."/>
      <w:lvlJc w:val="left"/>
      <w:pPr>
        <w:ind w:left="1200" w:hanging="480"/>
      </w:p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3">
    <w:nsid w:val="115C2C93"/>
    <w:multiLevelType w:val="multilevel"/>
    <w:tmpl w:val="115C2C93"/>
    <w:lvl w:ilvl="0" w:tentative="0">
      <w:start w:val="5"/>
      <w:numFmt w:val="japaneseCounting"/>
      <w:lvlText w:val="第%1条"/>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12A200A0"/>
    <w:multiLevelType w:val="multilevel"/>
    <w:tmpl w:val="12A200A0"/>
    <w:lvl w:ilvl="0" w:tentative="0">
      <w:start w:val="1"/>
      <w:numFmt w:val="bullet"/>
      <w:lvlText w:val=""/>
      <w:lvlJc w:val="left"/>
      <w:pPr>
        <w:ind w:left="1680" w:hanging="480"/>
      </w:pPr>
      <w:rPr>
        <w:rFonts w:hint="default" w:ascii="Wingdings" w:hAnsi="Wingdings"/>
      </w:rPr>
    </w:lvl>
    <w:lvl w:ilvl="1" w:tentative="0">
      <w:start w:val="1"/>
      <w:numFmt w:val="bullet"/>
      <w:lvlText w:val=""/>
      <w:lvlJc w:val="left"/>
      <w:pPr>
        <w:ind w:left="2160" w:hanging="480"/>
      </w:pPr>
      <w:rPr>
        <w:rFonts w:hint="default" w:ascii="Wingdings" w:hAnsi="Wingdings"/>
      </w:rPr>
    </w:lvl>
    <w:lvl w:ilvl="2" w:tentative="0">
      <w:start w:val="1"/>
      <w:numFmt w:val="bullet"/>
      <w:lvlText w:val=""/>
      <w:lvlJc w:val="left"/>
      <w:pPr>
        <w:ind w:left="2640" w:hanging="480"/>
      </w:pPr>
      <w:rPr>
        <w:rFonts w:hint="default" w:ascii="Wingdings" w:hAnsi="Wingdings"/>
      </w:rPr>
    </w:lvl>
    <w:lvl w:ilvl="3" w:tentative="0">
      <w:start w:val="1"/>
      <w:numFmt w:val="bullet"/>
      <w:lvlText w:val=""/>
      <w:lvlJc w:val="left"/>
      <w:pPr>
        <w:ind w:left="3120" w:hanging="480"/>
      </w:pPr>
      <w:rPr>
        <w:rFonts w:hint="default" w:ascii="Wingdings" w:hAnsi="Wingdings"/>
      </w:rPr>
    </w:lvl>
    <w:lvl w:ilvl="4" w:tentative="0">
      <w:start w:val="1"/>
      <w:numFmt w:val="bullet"/>
      <w:lvlText w:val=""/>
      <w:lvlJc w:val="left"/>
      <w:pPr>
        <w:ind w:left="3600" w:hanging="480"/>
      </w:pPr>
      <w:rPr>
        <w:rFonts w:hint="default" w:ascii="Wingdings" w:hAnsi="Wingdings"/>
      </w:rPr>
    </w:lvl>
    <w:lvl w:ilvl="5" w:tentative="0">
      <w:start w:val="1"/>
      <w:numFmt w:val="bullet"/>
      <w:lvlText w:val=""/>
      <w:lvlJc w:val="left"/>
      <w:pPr>
        <w:ind w:left="4080" w:hanging="480"/>
      </w:pPr>
      <w:rPr>
        <w:rFonts w:hint="default" w:ascii="Wingdings" w:hAnsi="Wingdings"/>
      </w:rPr>
    </w:lvl>
    <w:lvl w:ilvl="6" w:tentative="0">
      <w:start w:val="1"/>
      <w:numFmt w:val="bullet"/>
      <w:lvlText w:val=""/>
      <w:lvlJc w:val="left"/>
      <w:pPr>
        <w:ind w:left="4560" w:hanging="480"/>
      </w:pPr>
      <w:rPr>
        <w:rFonts w:hint="default" w:ascii="Wingdings" w:hAnsi="Wingdings"/>
      </w:rPr>
    </w:lvl>
    <w:lvl w:ilvl="7" w:tentative="0">
      <w:start w:val="1"/>
      <w:numFmt w:val="bullet"/>
      <w:lvlText w:val=""/>
      <w:lvlJc w:val="left"/>
      <w:pPr>
        <w:ind w:left="5040" w:hanging="480"/>
      </w:pPr>
      <w:rPr>
        <w:rFonts w:hint="default" w:ascii="Wingdings" w:hAnsi="Wingdings"/>
      </w:rPr>
    </w:lvl>
    <w:lvl w:ilvl="8" w:tentative="0">
      <w:start w:val="1"/>
      <w:numFmt w:val="bullet"/>
      <w:lvlText w:val=""/>
      <w:lvlJc w:val="left"/>
      <w:pPr>
        <w:ind w:left="5520" w:hanging="480"/>
      </w:pPr>
      <w:rPr>
        <w:rFonts w:hint="default" w:ascii="Wingdings" w:hAnsi="Wingdings"/>
      </w:rPr>
    </w:lvl>
  </w:abstractNum>
  <w:abstractNum w:abstractNumId="5">
    <w:nsid w:val="1E6B24E8"/>
    <w:multiLevelType w:val="multilevel"/>
    <w:tmpl w:val="1E6B24E8"/>
    <w:lvl w:ilvl="0" w:tentative="0">
      <w:start w:val="1"/>
      <w:numFmt w:val="japaneseCounting"/>
      <w:lvlText w:val="第%1条"/>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22EE3DD7"/>
    <w:multiLevelType w:val="multilevel"/>
    <w:tmpl w:val="22EE3DD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82A7F5F"/>
    <w:multiLevelType w:val="multilevel"/>
    <w:tmpl w:val="282A7F5F"/>
    <w:lvl w:ilvl="0" w:tentative="0">
      <w:start w:val="1"/>
      <w:numFmt w:val="decimal"/>
      <w:lvlText w:val="（%1）"/>
      <w:lvlJc w:val="left"/>
      <w:pPr>
        <w:ind w:left="1440" w:hanging="720"/>
      </w:pPr>
      <w:rPr>
        <w:rFonts w:hint="eastAsia" w:cstheme="minorBidi"/>
        <w:b w:val="0"/>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8">
    <w:nsid w:val="28BC6AC9"/>
    <w:multiLevelType w:val="multilevel"/>
    <w:tmpl w:val="28BC6AC9"/>
    <w:lvl w:ilvl="0" w:tentative="0">
      <w:start w:val="1"/>
      <w:numFmt w:val="decimal"/>
      <w:lvlText w:val="（%1）"/>
      <w:lvlJc w:val="left"/>
      <w:pPr>
        <w:ind w:left="1440" w:hanging="720"/>
      </w:pPr>
      <w:rPr>
        <w:rFonts w:hint="eastAsia" w:cstheme="minorBidi"/>
        <w:b w:val="0"/>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9">
    <w:nsid w:val="376B3961"/>
    <w:multiLevelType w:val="multilevel"/>
    <w:tmpl w:val="376B3961"/>
    <w:lvl w:ilvl="0" w:tentative="0">
      <w:start w:val="1"/>
      <w:numFmt w:val="decimal"/>
      <w:lvlText w:val="（%1）"/>
      <w:lvlJc w:val="left"/>
      <w:pPr>
        <w:ind w:left="1440" w:hanging="720"/>
      </w:pPr>
      <w:rPr>
        <w:rFonts w:hint="eastAsia" w:cstheme="minorBidi"/>
        <w:b w:val="0"/>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10">
    <w:nsid w:val="39AE1569"/>
    <w:multiLevelType w:val="multilevel"/>
    <w:tmpl w:val="39AE156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1">
    <w:nsid w:val="4F234902"/>
    <w:multiLevelType w:val="multilevel"/>
    <w:tmpl w:val="4F234902"/>
    <w:lvl w:ilvl="0" w:tentative="0">
      <w:start w:val="1"/>
      <w:numFmt w:val="decimal"/>
      <w:lvlText w:val="%1."/>
      <w:lvlJc w:val="left"/>
      <w:pPr>
        <w:ind w:left="1200" w:hanging="480"/>
      </w:p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12">
    <w:nsid w:val="57F475B3"/>
    <w:multiLevelType w:val="multilevel"/>
    <w:tmpl w:val="57F475B3"/>
    <w:lvl w:ilvl="0" w:tentative="0">
      <w:start w:val="1"/>
      <w:numFmt w:val="japaneseCounting"/>
      <w:lvlText w:val="第%1条"/>
      <w:lvlJc w:val="left"/>
      <w:pPr>
        <w:ind w:left="780" w:hanging="7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5CDE7F7C"/>
    <w:multiLevelType w:val="multilevel"/>
    <w:tmpl w:val="5CDE7F7C"/>
    <w:lvl w:ilvl="0" w:tentative="0">
      <w:start w:val="1"/>
      <w:numFmt w:val="decimal"/>
      <w:pStyle w:val="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4">
    <w:nsid w:val="5D025C3B"/>
    <w:multiLevelType w:val="multilevel"/>
    <w:tmpl w:val="5D025C3B"/>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5">
    <w:nsid w:val="5F31AB4B"/>
    <w:multiLevelType w:val="singleLevel"/>
    <w:tmpl w:val="5F31AB4B"/>
    <w:lvl w:ilvl="0" w:tentative="0">
      <w:start w:val="9"/>
      <w:numFmt w:val="chineseCounting"/>
      <w:suff w:val="space"/>
      <w:lvlText w:val="第%1条"/>
      <w:lvlJc w:val="left"/>
    </w:lvl>
  </w:abstractNum>
  <w:abstractNum w:abstractNumId="16">
    <w:nsid w:val="5F31AF76"/>
    <w:multiLevelType w:val="singleLevel"/>
    <w:tmpl w:val="5F31AF76"/>
    <w:lvl w:ilvl="0" w:tentative="0">
      <w:start w:val="9"/>
      <w:numFmt w:val="chineseCounting"/>
      <w:suff w:val="nothing"/>
      <w:lvlText w:val="第%1条"/>
      <w:lvlJc w:val="left"/>
    </w:lvl>
  </w:abstractNum>
  <w:abstractNum w:abstractNumId="17">
    <w:nsid w:val="5F31B812"/>
    <w:multiLevelType w:val="singleLevel"/>
    <w:tmpl w:val="5F31B812"/>
    <w:lvl w:ilvl="0" w:tentative="0">
      <w:start w:val="1"/>
      <w:numFmt w:val="chineseCounting"/>
      <w:suff w:val="nothing"/>
      <w:lvlText w:val="（%1）"/>
      <w:lvlJc w:val="left"/>
    </w:lvl>
  </w:abstractNum>
  <w:abstractNum w:abstractNumId="18">
    <w:nsid w:val="5F325628"/>
    <w:multiLevelType w:val="singleLevel"/>
    <w:tmpl w:val="5F325628"/>
    <w:lvl w:ilvl="0" w:tentative="0">
      <w:start w:val="1"/>
      <w:numFmt w:val="decimal"/>
      <w:pStyle w:val="5"/>
      <w:lvlText w:val="%1."/>
      <w:lvlJc w:val="left"/>
      <w:pPr>
        <w:tabs>
          <w:tab w:val="left" w:pos="360"/>
        </w:tabs>
        <w:ind w:left="360" w:hanging="360"/>
      </w:pPr>
    </w:lvl>
  </w:abstractNum>
  <w:abstractNum w:abstractNumId="19">
    <w:nsid w:val="6CDC0AE7"/>
    <w:multiLevelType w:val="multilevel"/>
    <w:tmpl w:val="6CDC0AE7"/>
    <w:lvl w:ilvl="0" w:tentative="0">
      <w:start w:val="1"/>
      <w:numFmt w:val="decimal"/>
      <w:lvlText w:val="（%1）"/>
      <w:lvlJc w:val="left"/>
      <w:pPr>
        <w:ind w:left="1440" w:hanging="720"/>
      </w:pPr>
      <w:rPr>
        <w:rFonts w:hint="eastAsia" w:cstheme="minorBidi"/>
        <w:b w:val="0"/>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20">
    <w:nsid w:val="792B3990"/>
    <w:multiLevelType w:val="multilevel"/>
    <w:tmpl w:val="792B3990"/>
    <w:lvl w:ilvl="0" w:tentative="0">
      <w:start w:val="1"/>
      <w:numFmt w:val="decimal"/>
      <w:lvlText w:val="%1."/>
      <w:lvlJc w:val="left"/>
      <w:pPr>
        <w:ind w:left="1200" w:hanging="480"/>
      </w:p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num w:numId="1">
    <w:abstractNumId w:val="13"/>
  </w:num>
  <w:num w:numId="2">
    <w:abstractNumId w:val="18"/>
  </w:num>
  <w:num w:numId="3">
    <w:abstractNumId w:val="17"/>
  </w:num>
  <w:num w:numId="4">
    <w:abstractNumId w:val="5"/>
  </w:num>
  <w:num w:numId="5">
    <w:abstractNumId w:val="11"/>
  </w:num>
  <w:num w:numId="6">
    <w:abstractNumId w:val="20"/>
  </w:num>
  <w:num w:numId="7">
    <w:abstractNumId w:val="0"/>
  </w:num>
  <w:num w:numId="8">
    <w:abstractNumId w:val="2"/>
  </w:num>
  <w:num w:numId="9">
    <w:abstractNumId w:val="4"/>
  </w:num>
  <w:num w:numId="10">
    <w:abstractNumId w:val="12"/>
  </w:num>
  <w:num w:numId="11">
    <w:abstractNumId w:val="14"/>
  </w:num>
  <w:num w:numId="12">
    <w:abstractNumId w:val="3"/>
  </w:num>
  <w:num w:numId="13">
    <w:abstractNumId w:val="10"/>
  </w:num>
  <w:num w:numId="14">
    <w:abstractNumId w:val="15"/>
  </w:num>
  <w:num w:numId="15">
    <w:abstractNumId w:val="8"/>
  </w:num>
  <w:num w:numId="16">
    <w:abstractNumId w:val="19"/>
  </w:num>
  <w:num w:numId="17">
    <w:abstractNumId w:val="1"/>
  </w:num>
  <w:num w:numId="18">
    <w:abstractNumId w:val="9"/>
  </w:num>
  <w:num w:numId="19">
    <w:abstractNumId w:val="7"/>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2E"/>
    <w:rsid w:val="00070C41"/>
    <w:rsid w:val="000754F4"/>
    <w:rsid w:val="00151294"/>
    <w:rsid w:val="00154C39"/>
    <w:rsid w:val="00161351"/>
    <w:rsid w:val="0017576E"/>
    <w:rsid w:val="00244A33"/>
    <w:rsid w:val="00276790"/>
    <w:rsid w:val="00344A80"/>
    <w:rsid w:val="0038769F"/>
    <w:rsid w:val="003A5316"/>
    <w:rsid w:val="003D0C09"/>
    <w:rsid w:val="004B0B20"/>
    <w:rsid w:val="00520A81"/>
    <w:rsid w:val="00532C19"/>
    <w:rsid w:val="005C2F59"/>
    <w:rsid w:val="0060243E"/>
    <w:rsid w:val="006D6679"/>
    <w:rsid w:val="006F72F3"/>
    <w:rsid w:val="0073312E"/>
    <w:rsid w:val="00770B74"/>
    <w:rsid w:val="00772C48"/>
    <w:rsid w:val="007A4BAD"/>
    <w:rsid w:val="007B3BC8"/>
    <w:rsid w:val="008A4F9B"/>
    <w:rsid w:val="008D69F1"/>
    <w:rsid w:val="0097480D"/>
    <w:rsid w:val="00A50CDE"/>
    <w:rsid w:val="00A84AB7"/>
    <w:rsid w:val="00AC7F0F"/>
    <w:rsid w:val="00AD1E04"/>
    <w:rsid w:val="00B92762"/>
    <w:rsid w:val="00BC6B9D"/>
    <w:rsid w:val="00CC6A46"/>
    <w:rsid w:val="00CC6E29"/>
    <w:rsid w:val="00D42902"/>
    <w:rsid w:val="00DB6C22"/>
    <w:rsid w:val="00E12EB6"/>
    <w:rsid w:val="00E24D33"/>
    <w:rsid w:val="00E33AE4"/>
    <w:rsid w:val="00EC4224"/>
    <w:rsid w:val="00F06213"/>
    <w:rsid w:val="00F37BAE"/>
    <w:rsid w:val="00F72FF7"/>
    <w:rsid w:val="59F15BB7"/>
    <w:rsid w:val="5AA592D3"/>
    <w:rsid w:val="67FFAE3A"/>
    <w:rsid w:val="6CBFD009"/>
    <w:rsid w:val="7F752E76"/>
    <w:rsid w:val="7FF6CAC1"/>
    <w:rsid w:val="7FFF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keepNext/>
      <w:keepLines/>
      <w:spacing w:before="100" w:after="90" w:line="576" w:lineRule="auto"/>
      <w:jc w:val="center"/>
      <w:outlineLvl w:val="0"/>
    </w:pPr>
    <w:rPr>
      <w:rFonts w:eastAsia="Songti SC"/>
      <w:b/>
      <w:kern w:val="44"/>
      <w:sz w:val="32"/>
    </w:rPr>
  </w:style>
  <w:style w:type="paragraph" w:styleId="3">
    <w:name w:val="heading 2"/>
    <w:basedOn w:val="1"/>
    <w:next w:val="1"/>
    <w:link w:val="31"/>
    <w:unhideWhenUsed/>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30"/>
    <w:unhideWhenUsed/>
    <w:qFormat/>
    <w:uiPriority w:val="9"/>
    <w:pPr>
      <w:keepNext/>
      <w:keepLines/>
      <w:widowControl/>
      <w:numPr>
        <w:ilvl w:val="0"/>
        <w:numId w:val="1"/>
      </w:numPr>
      <w:spacing w:before="260" w:after="260" w:line="415" w:lineRule="auto"/>
      <w:ind w:left="1130" w:hanging="420"/>
      <w:jc w:val="center"/>
      <w:outlineLvl w:val="2"/>
    </w:pPr>
    <w:rPr>
      <w:rFonts w:ascii="Arial Unicode MS" w:hAnsi="Arial Unicode MS" w:eastAsia="Heiti SC Medium" w:cs="Arial Unicode MS"/>
      <w:bCs/>
      <w:color w:val="000000"/>
      <w:kern w:val="0"/>
      <w:sz w:val="72"/>
      <w:szCs w:val="32"/>
      <w:u w:color="000000"/>
      <w:lang w:val="zh-TW" w:eastAsia="zh-TW"/>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List Number"/>
    <w:basedOn w:val="1"/>
    <w:unhideWhenUsed/>
    <w:uiPriority w:val="99"/>
    <w:pPr>
      <w:numPr>
        <w:ilvl w:val="0"/>
        <w:numId w:val="2"/>
      </w:numPr>
    </w:pPr>
  </w:style>
  <w:style w:type="paragraph" w:styleId="6">
    <w:name w:val="annotation text"/>
    <w:basedOn w:val="1"/>
    <w:link w:val="33"/>
    <w:unhideWhenUsed/>
    <w:qFormat/>
    <w:uiPriority w:val="99"/>
    <w:pPr>
      <w:jc w:val="left"/>
    </w:pPr>
    <w:rPr>
      <w:sz w:val="21"/>
    </w:rPr>
  </w:style>
  <w:style w:type="paragraph" w:styleId="7">
    <w:name w:val="Body Text"/>
    <w:basedOn w:val="1"/>
    <w:unhideWhenUsed/>
    <w:uiPriority w:val="99"/>
    <w:rPr>
      <w:rFonts w:ascii="Times New Roman" w:hAnsi="Times New Roman" w:eastAsia="仿宋_GB2312" w:cs="Times New Roman"/>
      <w:sz w:val="32"/>
      <w:szCs w:val="20"/>
    </w:rPr>
  </w:style>
  <w:style w:type="paragraph" w:styleId="8">
    <w:name w:val="Body Text Indent"/>
    <w:basedOn w:val="1"/>
    <w:unhideWhenUsed/>
    <w:uiPriority w:val="99"/>
    <w:pPr>
      <w:spacing w:line="360" w:lineRule="auto"/>
      <w:ind w:firstLine="727" w:firstLineChars="200"/>
    </w:pPr>
    <w:rPr>
      <w:rFonts w:ascii="仿宋_GB2312" w:hAnsi="Times New Roman" w:eastAsia="仿宋_GB2312" w:cs="Times New Roman"/>
      <w:sz w:val="36"/>
      <w:szCs w:val="20"/>
    </w:rPr>
  </w:style>
  <w:style w:type="paragraph" w:styleId="9">
    <w:name w:val="Body Text Indent 2"/>
    <w:basedOn w:val="1"/>
    <w:unhideWhenUsed/>
    <w:uiPriority w:val="99"/>
    <w:pPr>
      <w:spacing w:line="700" w:lineRule="atLeast"/>
      <w:ind w:firstLine="647" w:firstLineChars="200"/>
    </w:pPr>
    <w:rPr>
      <w:rFonts w:ascii="仿宋_GB2312" w:hAnsi="Times New Roman" w:eastAsia="仿宋_GB2312" w:cs="Times New Roman"/>
      <w:sz w:val="32"/>
      <w:szCs w:val="20"/>
    </w:rPr>
  </w:style>
  <w:style w:type="paragraph" w:styleId="10">
    <w:name w:val="Balloon Text"/>
    <w:basedOn w:val="1"/>
    <w:link w:val="25"/>
    <w:unhideWhenUsed/>
    <w:qFormat/>
    <w:uiPriority w:val="99"/>
    <w:rPr>
      <w:sz w:val="18"/>
      <w:szCs w:val="18"/>
    </w:rPr>
  </w:style>
  <w:style w:type="paragraph" w:styleId="11">
    <w:name w:val="footer"/>
    <w:basedOn w:val="1"/>
    <w:link w:val="32"/>
    <w:unhideWhenUsed/>
    <w:qFormat/>
    <w:uiPriority w:val="99"/>
    <w:pPr>
      <w:tabs>
        <w:tab w:val="center" w:pos="4153"/>
        <w:tab w:val="right" w:pos="8306"/>
      </w:tabs>
      <w:snapToGrid w:val="0"/>
      <w:jc w:val="left"/>
    </w:pPr>
    <w:rPr>
      <w:sz w:val="18"/>
    </w:rPr>
  </w:style>
  <w:style w:type="paragraph" w:styleId="12">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3">
    <w:name w:val="toc 1"/>
    <w:basedOn w:val="1"/>
    <w:next w:val="1"/>
    <w:unhideWhenUsed/>
    <w:uiPriority w:val="39"/>
  </w:style>
  <w:style w:type="paragraph" w:styleId="14">
    <w:name w:val="toc 2"/>
    <w:basedOn w:val="1"/>
    <w:next w:val="1"/>
    <w:unhideWhenUsed/>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Times" w:hAnsi="Times" w:cs="Times New Roman"/>
      <w:kern w:val="0"/>
      <w:sz w:val="20"/>
      <w:szCs w:val="20"/>
    </w:rPr>
  </w:style>
  <w:style w:type="paragraph" w:styleId="16">
    <w:name w:val="annotation subject"/>
    <w:basedOn w:val="6"/>
    <w:next w:val="6"/>
    <w:link w:val="34"/>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rFonts w:asciiTheme="minorHAnsi" w:hAnsiTheme="minorHAnsi" w:eastAsiaTheme="minorEastAsia" w:cstheme="minorBidi"/>
      <w:b/>
      <w:bCs/>
    </w:rPr>
  </w:style>
  <w:style w:type="character" w:styleId="21">
    <w:name w:val="page number"/>
    <w:basedOn w:val="19"/>
    <w:unhideWhenUsed/>
    <w:uiPriority w:val="99"/>
    <w:rPr>
      <w:rFonts w:asciiTheme="minorHAnsi" w:hAnsiTheme="minorHAnsi" w:eastAsiaTheme="minorEastAsia" w:cstheme="minorBidi"/>
    </w:rPr>
  </w:style>
  <w:style w:type="character" w:styleId="22">
    <w:name w:val="Hyperlink"/>
    <w:basedOn w:val="19"/>
    <w:unhideWhenUsed/>
    <w:uiPriority w:val="99"/>
    <w:rPr>
      <w:rFonts w:asciiTheme="minorHAnsi" w:hAnsiTheme="minorHAnsi" w:eastAsiaTheme="minorEastAsia" w:cstheme="minorBidi"/>
      <w:color w:val="0563C1" w:themeColor="hyperlink"/>
      <w:u w:val="single"/>
      <w:lang w:val="en-US" w:eastAsia="zh-CN" w:bidi="ar-SA"/>
      <w14:textFill>
        <w14:solidFill>
          <w14:schemeClr w14:val="hlink"/>
        </w14:solidFill>
      </w14:textFill>
    </w:rPr>
  </w:style>
  <w:style w:type="character" w:styleId="23">
    <w:name w:val="annotation reference"/>
    <w:basedOn w:val="19"/>
    <w:unhideWhenUsed/>
    <w:qFormat/>
    <w:uiPriority w:val="99"/>
    <w:rPr>
      <w:rFonts w:asciiTheme="minorHAnsi" w:hAnsiTheme="minorHAnsi" w:eastAsiaTheme="minorEastAsia" w:cstheme="minorBidi"/>
      <w:sz w:val="21"/>
      <w:szCs w:val="21"/>
    </w:rPr>
  </w:style>
  <w:style w:type="character" w:customStyle="1" w:styleId="24">
    <w:name w:val="apple-converted-space"/>
    <w:basedOn w:val="19"/>
    <w:qFormat/>
    <w:uiPriority w:val="0"/>
    <w:rPr>
      <w:rFonts w:asciiTheme="minorHAnsi" w:hAnsiTheme="minorHAnsi" w:eastAsiaTheme="minorEastAsia" w:cstheme="minorBidi"/>
    </w:rPr>
  </w:style>
  <w:style w:type="character" w:customStyle="1" w:styleId="25">
    <w:name w:val="批注框文本 字符1"/>
    <w:basedOn w:val="19"/>
    <w:link w:val="10"/>
    <w:semiHidden/>
    <w:qFormat/>
    <w:uiPriority w:val="99"/>
    <w:rPr>
      <w:rFonts w:asciiTheme="minorHAnsi" w:hAnsiTheme="minorHAnsi" w:eastAsiaTheme="minorEastAsia" w:cstheme="minorBidi"/>
      <w:sz w:val="18"/>
      <w:szCs w:val="18"/>
    </w:rPr>
  </w:style>
  <w:style w:type="paragraph" w:customStyle="1" w:styleId="26">
    <w:name w:val="列表段落1"/>
    <w:basedOn w:val="1"/>
    <w:qFormat/>
    <w:uiPriority w:val="34"/>
    <w:pPr>
      <w:ind w:firstLine="420" w:firstLineChars="200"/>
    </w:pPr>
  </w:style>
  <w:style w:type="character" w:customStyle="1" w:styleId="27">
    <w:name w:val="页眉 字符"/>
    <w:basedOn w:val="19"/>
    <w:qFormat/>
    <w:uiPriority w:val="99"/>
    <w:rPr>
      <w:rFonts w:ascii="DejaVu Sans" w:hAnsi="DejaVu Sans" w:eastAsiaTheme="minorEastAsia" w:cstheme="minorBidi"/>
      <w:sz w:val="18"/>
    </w:rPr>
  </w:style>
  <w:style w:type="character" w:customStyle="1" w:styleId="28">
    <w:name w:val="页脚 字符"/>
    <w:basedOn w:val="19"/>
    <w:qFormat/>
    <w:uiPriority w:val="99"/>
    <w:rPr>
      <w:rFonts w:asciiTheme="minorHAnsi" w:hAnsiTheme="minorHAnsi" w:eastAsiaTheme="minorEastAsia" w:cstheme="minorBidi"/>
      <w:sz w:val="18"/>
    </w:rPr>
  </w:style>
  <w:style w:type="character" w:customStyle="1" w:styleId="29">
    <w:name w:val="批注框文本 字符"/>
    <w:basedOn w:val="19"/>
    <w:semiHidden/>
    <w:qFormat/>
    <w:uiPriority w:val="99"/>
    <w:rPr>
      <w:rFonts w:asciiTheme="minorHAnsi" w:hAnsiTheme="minorHAnsi" w:eastAsiaTheme="minorEastAsia" w:cstheme="minorBidi"/>
      <w:sz w:val="18"/>
      <w:szCs w:val="18"/>
    </w:rPr>
  </w:style>
  <w:style w:type="character" w:customStyle="1" w:styleId="30">
    <w:name w:val="标题 3 字符"/>
    <w:basedOn w:val="19"/>
    <w:link w:val="4"/>
    <w:qFormat/>
    <w:uiPriority w:val="9"/>
    <w:rPr>
      <w:rFonts w:ascii="Arial Unicode MS" w:hAnsi="Arial Unicode MS" w:eastAsia="Heiti SC Medium" w:cs="Arial Unicode MS"/>
      <w:bCs/>
      <w:color w:val="000000"/>
      <w:kern w:val="0"/>
      <w:sz w:val="72"/>
      <w:szCs w:val="32"/>
      <w:u w:color="000000"/>
      <w:lang w:val="zh-TW" w:eastAsia="zh-TW"/>
    </w:rPr>
  </w:style>
  <w:style w:type="character" w:customStyle="1" w:styleId="31">
    <w:name w:val="标题 2 字符"/>
    <w:basedOn w:val="19"/>
    <w:link w:val="3"/>
    <w:qFormat/>
    <w:uiPriority w:val="9"/>
    <w:rPr>
      <w:rFonts w:ascii="宋体" w:hAnsi="宋体" w:eastAsia="宋体" w:cs="宋体"/>
      <w:b/>
      <w:bCs/>
      <w:kern w:val="0"/>
      <w:sz w:val="36"/>
      <w:szCs w:val="36"/>
    </w:rPr>
  </w:style>
  <w:style w:type="character" w:customStyle="1" w:styleId="32">
    <w:name w:val="页脚 字符1"/>
    <w:basedOn w:val="19"/>
    <w:link w:val="11"/>
    <w:qFormat/>
    <w:uiPriority w:val="99"/>
    <w:rPr>
      <w:rFonts w:asciiTheme="minorHAnsi" w:hAnsiTheme="minorHAnsi" w:eastAsiaTheme="minorEastAsia" w:cstheme="minorBidi"/>
      <w:sz w:val="18"/>
      <w:szCs w:val="18"/>
    </w:rPr>
  </w:style>
  <w:style w:type="character" w:customStyle="1" w:styleId="33">
    <w:name w:val="批注文字 字符1"/>
    <w:basedOn w:val="19"/>
    <w:link w:val="6"/>
    <w:semiHidden/>
    <w:qFormat/>
    <w:uiPriority w:val="99"/>
    <w:rPr>
      <w:rFonts w:asciiTheme="minorHAnsi" w:hAnsiTheme="minorHAnsi" w:eastAsiaTheme="minorEastAsia" w:cstheme="minorBidi"/>
    </w:rPr>
  </w:style>
  <w:style w:type="character" w:customStyle="1" w:styleId="34">
    <w:name w:val="批注主题 字符1"/>
    <w:basedOn w:val="33"/>
    <w:link w:val="16"/>
    <w:semiHidden/>
    <w:qFormat/>
    <w:uiPriority w:val="99"/>
    <w:rPr>
      <w:rFonts w:asciiTheme="minorHAnsi" w:hAnsiTheme="minorHAnsi" w:eastAsiaTheme="minorEastAsia" w:cstheme="minorBidi"/>
      <w:b/>
      <w:bCs/>
    </w:rPr>
  </w:style>
  <w:style w:type="character" w:customStyle="1" w:styleId="35">
    <w:name w:val="页眉 字符1"/>
    <w:basedOn w:val="19"/>
    <w:link w:val="12"/>
    <w:qFormat/>
    <w:uiPriority w:val="99"/>
    <w:rPr>
      <w:rFonts w:asciiTheme="minorHAnsi" w:hAnsiTheme="minorHAnsi" w:eastAsiaTheme="minorEastAsia" w:cstheme="minorBidi"/>
      <w:sz w:val="18"/>
      <w:szCs w:val="18"/>
    </w:rPr>
  </w:style>
  <w:style w:type="character" w:customStyle="1" w:styleId="36">
    <w:name w:val="批注文字 字符"/>
    <w:basedOn w:val="19"/>
    <w:semiHidden/>
    <w:qFormat/>
    <w:uiPriority w:val="99"/>
    <w:rPr>
      <w:rFonts w:asciiTheme="minorHAnsi" w:hAnsiTheme="minorHAnsi" w:eastAsiaTheme="minorEastAsia" w:cstheme="minorBidi"/>
    </w:rPr>
  </w:style>
  <w:style w:type="character" w:customStyle="1" w:styleId="37">
    <w:name w:val="批注主题 字符"/>
    <w:basedOn w:val="36"/>
    <w:semiHidden/>
    <w:qFormat/>
    <w:uiPriority w:val="99"/>
    <w:rPr>
      <w:rFonts w:asciiTheme="minorHAnsi" w:hAnsiTheme="minorHAnsi" w:eastAsiaTheme="minorEastAsia" w:cstheme="minorBidi"/>
      <w:b/>
      <w:bCs/>
    </w:rPr>
  </w:style>
  <w:style w:type="paragraph" w:customStyle="1" w:styleId="38">
    <w:name w:val="列出段落1"/>
    <w:basedOn w:val="1"/>
    <w:qFormat/>
    <w:uiPriority w:val="34"/>
    <w:pPr>
      <w:widowControl/>
      <w:ind w:left="720"/>
      <w:contextualSpacing/>
      <w:jc w:val="left"/>
    </w:pPr>
    <w:rPr>
      <w:kern w:val="0"/>
    </w:rPr>
  </w:style>
  <w:style w:type="paragraph" w:customStyle="1" w:styleId="39">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0">
    <w:name w:val="_Style 39"/>
    <w:semiHidden/>
    <w:uiPriority w:val="99"/>
    <w:rPr>
      <w:rFonts w:ascii="Cambria" w:hAnsi="Cambria" w:eastAsia="宋体" w:cs="Times New Roman"/>
      <w:kern w:val="2"/>
      <w:sz w:val="24"/>
      <w:szCs w:val="24"/>
      <w:lang w:val="en-US" w:eastAsia="zh-CN" w:bidi="ar-SA"/>
    </w:rPr>
  </w:style>
  <w:style w:type="paragraph" w:customStyle="1" w:styleId="41">
    <w:name w:val="p-text"/>
    <w:basedOn w:val="1"/>
    <w:qFormat/>
    <w:uiPriority w:val="0"/>
    <w:pPr>
      <w:widowControl/>
      <w:spacing w:before="100" w:beforeAutospacing="1" w:after="100" w:afterAutospacing="1"/>
      <w:jc w:val="left"/>
    </w:pPr>
    <w:rPr>
      <w:rFonts w:ascii="宋体" w:hAnsi="宋体" w:eastAsia="宋体"/>
      <w:kern w:val="0"/>
      <w:sz w:val="20"/>
      <w:szCs w:val="20"/>
    </w:rPr>
  </w:style>
  <w:style w:type="paragraph" w:customStyle="1" w:styleId="42">
    <w:name w:val="公文标题"/>
    <w:basedOn w:val="7"/>
    <w:uiPriority w:val="0"/>
    <w:pPr>
      <w:jc w:val="center"/>
    </w:pPr>
    <w:rPr>
      <w:rFonts w:eastAsia="黑体"/>
      <w:sz w:val="44"/>
    </w:rPr>
  </w:style>
  <w:style w:type="paragraph" w:customStyle="1" w:styleId="43">
    <w:name w:val="公文正文"/>
    <w:basedOn w:val="1"/>
    <w:uiPriority w:val="0"/>
    <w:pPr>
      <w:ind w:firstLine="624"/>
    </w:pPr>
    <w:rPr>
      <w:rFonts w:ascii="Times New Roman" w:hAnsi="Times New Roman" w:eastAsia="仿宋_GB2312" w:cs="Times New Roman"/>
      <w:sz w:val="32"/>
      <w:szCs w:val="20"/>
    </w:rPr>
  </w:style>
  <w:style w:type="paragraph" w:customStyle="1" w:styleId="44">
    <w:name w:val="WPSOffice手动目录 1"/>
    <w:uiPriority w:val="0"/>
    <w:rPr>
      <w:rFonts w:asciiTheme="minorHAnsi" w:hAnsiTheme="minorHAnsi" w:eastAsiaTheme="minorEastAsia" w:cstheme="minorBidi"/>
      <w:lang w:val="en-US" w:eastAsia="zh-CN" w:bidi="ar-SA"/>
    </w:rPr>
  </w:style>
  <w:style w:type="paragraph" w:customStyle="1" w:styleId="45">
    <w:name w:val="WPSOffice手动目录 2"/>
    <w:uiPriority w:val="0"/>
    <w:pPr>
      <w:ind w:left="200" w:leftChars="200"/>
    </w:pPr>
    <w:rPr>
      <w:rFonts w:asciiTheme="minorHAnsi" w:hAnsiTheme="minorHAnsi" w:eastAsiaTheme="minorEastAsia" w:cstheme="minorBidi"/>
      <w:lang w:val="en-US" w:eastAsia="zh-CN" w:bidi="ar-SA"/>
    </w:rPr>
  </w:style>
  <w:style w:type="paragraph" w:customStyle="1" w:styleId="46">
    <w:name w:val="WPSOffice手动目录 3"/>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77</Pages>
  <Words>5281</Words>
  <Characters>30107</Characters>
  <Lines>250</Lines>
  <Paragraphs>70</Paragraphs>
  <TotalTime>0</TotalTime>
  <ScaleCrop>false</ScaleCrop>
  <LinksUpToDate>false</LinksUpToDate>
  <CharactersWithSpaces>35318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2020-08-19T01:34:00Z</dcterms:created>
  <dc:creator>李倩茹</dc:creator>
  <cp:lastModifiedBy>cindy</cp:lastModifiedBy>
  <cp:lastPrinted>2020-08-19T01:37:00Z</cp:lastPrinted>
  <dcterms:modified xsi:type="dcterms:W3CDTF">2025-07-01T11:46:54Z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C25F317125AAC8359B4D6368B3FC695E_43</vt:lpwstr>
  </property>
</Properties>
</file>